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pStyle w:val="Title"/>
        <w:pBdr>
          <w:bottom w:val="single" w:sz="8" w:space="3" w:color="4F81BD"/>
        </w:pBdr>
        <w:jc w:val="center"/>
        <w:rPr>
          <w:rFonts w:ascii="Arial" w:hAnsi="Arial" w:cs="Arial"/>
          <w:b/>
          <w:color w:val="auto"/>
          <w:sz w:val="32"/>
          <w:szCs w:val="32"/>
          <w:lang w:eastAsia="en-ZA"/>
        </w:rPr>
      </w:pPr>
      <w:bookmarkStart w:id="0" w:name="_GoBack"/>
      <w:bookmarkEnd w:id="0"/>
      <w:r>
        <w:rPr>
          <w:rFonts w:ascii="Arial" w:hAnsi="Arial" w:cs="Arial"/>
          <w:b/>
          <w:color w:val="auto"/>
          <w:sz w:val="32"/>
          <w:szCs w:val="32"/>
          <w:lang w:eastAsia="en-ZA"/>
        </w:rPr>
        <w:t xml:space="preserve">Experimentation and CFD modelling of a microchannel reactor for carbon dioxide methanation </w:t>
      </w:r>
    </w:p>
    <w:p>
      <w:pPr>
        <w:jc w:val="center"/>
        <w:rPr>
          <w:rFonts w:eastAsia="Times New Roman" w:cs="Arial"/>
          <w:sz w:val="18"/>
          <w:szCs w:val="18"/>
          <w:lang w:eastAsia="en-ZA"/>
        </w:rPr>
      </w:pPr>
      <w:r>
        <w:rPr>
          <w:rFonts w:eastAsia="Times New Roman" w:cs="Arial"/>
          <w:sz w:val="18"/>
          <w:szCs w:val="18"/>
          <w:lang w:eastAsia="en-ZA"/>
        </w:rPr>
        <w:t xml:space="preserve">Nicolaas Engelbrecht </w:t>
      </w:r>
      <w:r>
        <w:rPr>
          <w:rFonts w:eastAsia="Times New Roman" w:cs="Arial"/>
          <w:sz w:val="18"/>
          <w:szCs w:val="18"/>
          <w:vertAlign w:val="superscript"/>
          <w:lang w:eastAsia="en-ZA"/>
        </w:rPr>
        <w:t>a</w:t>
      </w:r>
      <w:r>
        <w:rPr>
          <w:rFonts w:eastAsia="Times New Roman" w:cs="Arial"/>
          <w:sz w:val="18"/>
          <w:szCs w:val="18"/>
          <w:lang w:eastAsia="en-ZA"/>
        </w:rPr>
        <w:t xml:space="preserve">, Steven Chiuta </w:t>
      </w:r>
      <w:r>
        <w:rPr>
          <w:rFonts w:eastAsia="Times New Roman" w:cs="Arial"/>
          <w:sz w:val="18"/>
          <w:szCs w:val="18"/>
          <w:vertAlign w:val="superscript"/>
          <w:lang w:eastAsia="en-ZA"/>
        </w:rPr>
        <w:t>a,*</w:t>
      </w:r>
      <w:r>
        <w:rPr>
          <w:rFonts w:eastAsia="Times New Roman" w:cs="Arial"/>
          <w:sz w:val="18"/>
          <w:szCs w:val="18"/>
          <w:lang w:eastAsia="en-ZA"/>
        </w:rPr>
        <w:t xml:space="preserve">, Raymond C. Everson </w:t>
      </w:r>
      <w:r>
        <w:rPr>
          <w:rFonts w:eastAsia="Times New Roman" w:cs="Arial"/>
          <w:sz w:val="18"/>
          <w:szCs w:val="18"/>
          <w:vertAlign w:val="superscript"/>
          <w:lang w:eastAsia="en-ZA"/>
        </w:rPr>
        <w:t>a</w:t>
      </w:r>
      <w:r>
        <w:rPr>
          <w:rFonts w:eastAsia="Times New Roman" w:cs="Arial"/>
          <w:sz w:val="18"/>
          <w:szCs w:val="18"/>
          <w:lang w:eastAsia="en-ZA"/>
        </w:rPr>
        <w:t xml:space="preserve">, Hein W.J.P. Neomagus </w:t>
      </w:r>
      <w:r>
        <w:rPr>
          <w:rFonts w:eastAsia="Times New Roman" w:cs="Arial"/>
          <w:sz w:val="18"/>
          <w:szCs w:val="18"/>
          <w:vertAlign w:val="superscript"/>
          <w:lang w:eastAsia="en-ZA"/>
        </w:rPr>
        <w:t>a</w:t>
      </w:r>
      <w:r>
        <w:rPr>
          <w:rFonts w:eastAsia="Times New Roman" w:cs="Arial"/>
          <w:sz w:val="18"/>
          <w:szCs w:val="18"/>
          <w:lang w:eastAsia="en-ZA"/>
        </w:rPr>
        <w:t xml:space="preserve">, Dmitri G. Bessarabov </w:t>
      </w:r>
      <w:r>
        <w:rPr>
          <w:rFonts w:eastAsia="Times New Roman" w:cs="Arial"/>
          <w:sz w:val="18"/>
          <w:szCs w:val="18"/>
          <w:vertAlign w:val="superscript"/>
          <w:lang w:eastAsia="en-ZA"/>
        </w:rPr>
        <w:t>a,**</w:t>
      </w:r>
    </w:p>
    <w:p>
      <w:pPr>
        <w:jc w:val="center"/>
        <w:rPr>
          <w:rFonts w:eastAsia="Times New Roman" w:cs="Arial"/>
          <w:sz w:val="18"/>
          <w:szCs w:val="18"/>
          <w:lang w:eastAsia="en-ZA"/>
        </w:rPr>
      </w:pPr>
      <w:r>
        <w:rPr>
          <w:rFonts w:eastAsia="Times New Roman" w:cs="Arial"/>
          <w:sz w:val="18"/>
          <w:szCs w:val="18"/>
          <w:vertAlign w:val="superscript"/>
          <w:lang w:eastAsia="en-ZA"/>
        </w:rPr>
        <w:t>a</w:t>
      </w:r>
      <w:r>
        <w:rPr>
          <w:rFonts w:eastAsia="Times New Roman" w:cs="Arial"/>
          <w:sz w:val="18"/>
          <w:szCs w:val="18"/>
          <w:lang w:eastAsia="en-ZA"/>
        </w:rPr>
        <w:t xml:space="preserve"> HySA Infrastructure Centre of Competence, North-West University, Faculty of Engineering , Private Bag X6001, Potchefstroom Campus, 2531, South Africa</w:t>
      </w:r>
    </w:p>
    <w:p>
      <w:pPr>
        <w:pStyle w:val="Heading1"/>
        <w:rPr>
          <w:rFonts w:cs="Arial"/>
          <w:lang w:val="en-US" w:eastAsia="en-ZA" w:bidi="en-US"/>
        </w:rPr>
      </w:pPr>
      <w:r>
        <w:rPr>
          <w:rFonts w:cs="Arial"/>
          <w:lang w:val="en-US" w:eastAsia="en-ZA" w:bidi="en-US"/>
        </w:rPr>
        <w:t>Abstract</w:t>
      </w:r>
    </w:p>
    <w:p>
      <w:pPr>
        <w:spacing w:line="480" w:lineRule="auto"/>
        <w:rPr>
          <w:rFonts w:eastAsia="Times New Roman" w:cs="Arial"/>
          <w:lang w:eastAsia="en-ZA"/>
        </w:rPr>
      </w:pPr>
      <w:r>
        <w:rPr>
          <w:rFonts w:cs="Arial"/>
          <w:lang w:val="en-US"/>
        </w:rPr>
        <w:t>T</w:t>
      </w:r>
      <w:r>
        <w:t>he methanation of carbon dioxide (CO</w:t>
      </w:r>
      <w:r>
        <w:rPr>
          <w:vertAlign w:val="subscript"/>
        </w:rPr>
        <w:t>2</w:t>
      </w:r>
      <w:r>
        <w:t>) via the Sabatier process is increasingly gaining interest for power-to-gas application. In this investigation, a microchannel reactor was evaluated for CO</w:t>
      </w:r>
      <w:r>
        <w:rPr>
          <w:vertAlign w:val="subscript"/>
        </w:rPr>
        <w:t>2</w:t>
      </w:r>
      <w:r>
        <w:t xml:space="preserve"> methanation at different operational pressures (atmospheric, 5 bar, and 10 bar), reaction temperatures (250</w:t>
      </w:r>
      <w:r>
        <w:rPr>
          <w:rFonts w:cs="Arial"/>
        </w:rPr>
        <w:t>‒</w:t>
      </w:r>
      <w:r>
        <w:t>400°C) and space velocities (32.6</w:t>
      </w:r>
      <w:r>
        <w:rPr>
          <w:rFonts w:cs="Arial"/>
        </w:rPr>
        <w:t>–</w:t>
      </w:r>
      <w:r>
        <w:t>97.8 L.g</w:t>
      </w:r>
      <w:r>
        <w:rPr>
          <w:vertAlign w:val="subscript"/>
        </w:rPr>
        <w:t>cat</w:t>
      </w:r>
      <w:r>
        <w:rPr>
          <w:vertAlign w:val="superscript"/>
        </w:rPr>
        <w:t>-1</w:t>
      </w:r>
      <w:r>
        <w:t>.h</w:t>
      </w:r>
      <w:r>
        <w:rPr>
          <w:vertAlign w:val="superscript"/>
        </w:rPr>
        <w:t>-1</w:t>
      </w:r>
      <w:r>
        <w:t>). The recommended operation point was identified at reactor conditions corresponding to 5 bar, 400°C, and 97.8 L.g</w:t>
      </w:r>
      <w:r>
        <w:rPr>
          <w:vertAlign w:val="subscript"/>
        </w:rPr>
        <w:t>cat</w:t>
      </w:r>
      <w:r>
        <w:rPr>
          <w:vertAlign w:val="superscript"/>
        </w:rPr>
        <w:t>-1</w:t>
      </w:r>
      <w:r>
        <w:t>.h</w:t>
      </w:r>
      <w:r>
        <w:rPr>
          <w:vertAlign w:val="superscript"/>
        </w:rPr>
        <w:t>-1</w:t>
      </w:r>
      <w:r>
        <w:t>. At this condition, the microchannel reactor yielded good CO</w:t>
      </w:r>
      <w:r>
        <w:rPr>
          <w:vertAlign w:val="subscript"/>
        </w:rPr>
        <w:t>2</w:t>
      </w:r>
      <w:r>
        <w:t xml:space="preserve"> conversion (83.4%) and high methane (CH</w:t>
      </w:r>
      <w:r>
        <w:rPr>
          <w:vertAlign w:val="subscript"/>
        </w:rPr>
        <w:t>4</w:t>
      </w:r>
      <w:r>
        <w:t>) productivity (16.9 L.g</w:t>
      </w:r>
      <w:r>
        <w:rPr>
          <w:vertAlign w:val="subscript"/>
        </w:rPr>
        <w:t>cat</w:t>
      </w:r>
      <w:r>
        <w:rPr>
          <w:vertAlign w:val="superscript"/>
        </w:rPr>
        <w:t>-1</w:t>
      </w:r>
      <w:r>
        <w:t>.h</w:t>
      </w:r>
      <w:r>
        <w:rPr>
          <w:vertAlign w:val="superscript"/>
        </w:rPr>
        <w:t>-1</w:t>
      </w:r>
      <w:r>
        <w:t>). The microchannel reactor also demonstrated good long-term performance at demanding operation conditions relating to high space velocity and high temperature. Subsequently, a CFD model was developed to describe the reaction-coupled transport phenomena within the microchannel reactor. Kinetic rate expressions were developed and validated for all reaction conditions to provide reaction source terms for the CFD modelling. Velocity and concentration profiles were discussed at different reaction conditions to interpret experimental results and provide insight into reactor operation. Overall, the results reported in this paper could give fundamental design and operational insight to the further development of microchannel reactors for CO</w:t>
      </w:r>
      <w:r>
        <w:rPr>
          <w:vertAlign w:val="subscript"/>
        </w:rPr>
        <w:t>2</w:t>
      </w:r>
      <w:r>
        <w:t xml:space="preserve"> methanation in power-to-gas applications.</w:t>
      </w:r>
    </w:p>
    <w:p>
      <w:pPr>
        <w:spacing w:line="480" w:lineRule="auto"/>
        <w:rPr>
          <w:rFonts w:eastAsia="Times New Roman" w:cs="Arial"/>
          <w:sz w:val="18"/>
          <w:szCs w:val="18"/>
          <w:lang w:eastAsia="en-ZA"/>
        </w:rPr>
      </w:pPr>
      <w:r>
        <w:rPr>
          <w:rFonts w:eastAsia="Times New Roman" w:cs="Arial"/>
          <w:i/>
          <w:sz w:val="18"/>
          <w:szCs w:val="18"/>
          <w:lang w:eastAsia="en-ZA"/>
        </w:rPr>
        <w:t>Keywords:</w:t>
      </w:r>
      <w:r>
        <w:rPr>
          <w:rFonts w:eastAsia="Times New Roman" w:cs="Arial"/>
          <w:sz w:val="18"/>
          <w:szCs w:val="18"/>
          <w:lang w:eastAsia="en-ZA"/>
        </w:rPr>
        <w:t xml:space="preserve"> renewable hydrogen, power-to-gas, CO</w:t>
      </w:r>
      <w:r>
        <w:rPr>
          <w:rFonts w:eastAsia="Times New Roman" w:cs="Arial"/>
          <w:sz w:val="18"/>
          <w:szCs w:val="18"/>
          <w:vertAlign w:val="subscript"/>
          <w:lang w:eastAsia="en-ZA"/>
        </w:rPr>
        <w:t>2</w:t>
      </w:r>
      <w:r>
        <w:rPr>
          <w:rFonts w:eastAsia="Times New Roman" w:cs="Arial"/>
          <w:sz w:val="18"/>
          <w:szCs w:val="18"/>
          <w:lang w:eastAsia="en-ZA"/>
        </w:rPr>
        <w:t xml:space="preserve"> methanation, Sabatier reaction, microchannel reactor, CFD modelling</w:t>
      </w:r>
    </w:p>
    <w:p>
      <w:pPr>
        <w:spacing w:line="240" w:lineRule="auto"/>
        <w:rPr>
          <w:rFonts w:cs="Arial"/>
          <w:sz w:val="18"/>
          <w:szCs w:val="18"/>
          <w:lang w:val="en-ZA"/>
        </w:rPr>
      </w:pPr>
      <w:r>
        <w:rPr>
          <w:rFonts w:cs="Arial"/>
          <w:sz w:val="18"/>
          <w:szCs w:val="18"/>
          <w:lang w:val="en-ZA"/>
        </w:rPr>
        <w:t xml:space="preserve">*Corresponding authors; Telephone: +27 18 299 1366; Fax +27 18 299 1667; E-mail address: </w:t>
      </w:r>
      <w:hyperlink r:id="rId8" w:history="1">
        <w:r>
          <w:rPr>
            <w:rFonts w:cs="Arial"/>
            <w:color w:val="0000FF"/>
            <w:sz w:val="18"/>
            <w:szCs w:val="18"/>
            <w:u w:val="single"/>
            <w:lang w:val="en-ZA"/>
          </w:rPr>
          <w:t>21876533@nwu.ac.za</w:t>
        </w:r>
      </w:hyperlink>
      <w:r>
        <w:rPr>
          <w:rFonts w:cs="Arial"/>
          <w:sz w:val="18"/>
          <w:szCs w:val="18"/>
          <w:lang w:val="en-ZA"/>
        </w:rPr>
        <w:t xml:space="preserve"> (S Chiuta), </w:t>
      </w:r>
      <w:hyperlink r:id="rId9" w:history="1">
        <w:r>
          <w:rPr>
            <w:rFonts w:cs="Arial"/>
            <w:color w:val="0000FF"/>
            <w:sz w:val="18"/>
            <w:szCs w:val="18"/>
            <w:u w:val="single"/>
            <w:lang w:val="en-ZA"/>
          </w:rPr>
          <w:t>Dmitri.Bessarabov@nwu.ac.za</w:t>
        </w:r>
      </w:hyperlink>
      <w:r>
        <w:rPr>
          <w:rFonts w:cs="Arial"/>
          <w:sz w:val="18"/>
          <w:szCs w:val="18"/>
          <w:lang w:val="en-ZA"/>
        </w:rPr>
        <w:t xml:space="preserve"> (D.G Bessarabov)</w:t>
      </w:r>
    </w:p>
    <w:p>
      <w:pPr>
        <w:spacing w:line="480" w:lineRule="auto"/>
        <w:rPr>
          <w:rFonts w:eastAsia="Times New Roman" w:cs="Arial"/>
          <w:sz w:val="16"/>
          <w:szCs w:val="16"/>
          <w:lang w:eastAsia="en-ZA"/>
        </w:rPr>
      </w:pPr>
      <w:r>
        <w:rPr>
          <w:rFonts w:eastAsia="Times New Roman" w:cs="Arial"/>
          <w:sz w:val="16"/>
          <w:szCs w:val="16"/>
          <w:lang w:eastAsia="en-ZA"/>
        </w:rPr>
        <w:br w:type="page"/>
      </w:r>
    </w:p>
    <w:tbl>
      <w:tblPr>
        <w:tblStyle w:val="TableGrid"/>
        <w:tblW w:w="9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817"/>
        <w:gridCol w:w="4111"/>
        <w:gridCol w:w="992"/>
        <w:gridCol w:w="3260"/>
      </w:tblGrid>
      <w:tr>
        <w:trPr>
          <w:trHeight w:val="300"/>
        </w:trPr>
        <w:tc>
          <w:tcPr>
            <w:tcW w:w="4928" w:type="dxa"/>
            <w:gridSpan w:val="2"/>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lastRenderedPageBreak/>
              <w:t>Nomenclature</w:t>
            </w:r>
          </w:p>
        </w:tc>
        <w:tc>
          <w:tcPr>
            <w:tcW w:w="4252" w:type="dxa"/>
            <w:gridSpan w:val="2"/>
            <w:shd w:val="clear" w:color="auto" w:fill="D9D9D9" w:themeFill="background1" w:themeFillShade="D9"/>
            <w:noWrap/>
            <w:vAlign w:val="center"/>
            <w:hideMark/>
          </w:tcPr>
          <w:p>
            <w:pPr>
              <w:spacing w:after="0" w:line="240" w:lineRule="auto"/>
              <w:jc w:val="left"/>
              <w:rPr>
                <w:rFonts w:eastAsia="Times New Roman" w:cs="Arial"/>
                <w:i/>
                <w:color w:val="000000"/>
                <w:sz w:val="18"/>
                <w:szCs w:val="18"/>
                <w:lang w:eastAsia="en-ZA"/>
              </w:rPr>
            </w:pPr>
            <w:r>
              <w:rPr>
                <w:rFonts w:eastAsia="Times New Roman" w:cs="Arial"/>
                <w:i/>
                <w:color w:val="000000"/>
                <w:sz w:val="18"/>
                <w:szCs w:val="18"/>
                <w:lang w:eastAsia="en-ZA"/>
              </w:rPr>
              <w:t>Greek symbols</w:t>
            </w: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p>
        </w:tc>
        <w:tc>
          <w:tcPr>
            <w:tcW w:w="992"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p>
        </w:tc>
        <w:tc>
          <w:tcPr>
            <w:tcW w:w="3260"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i/>
                <w:color w:val="000000"/>
                <w:sz w:val="18"/>
                <w:szCs w:val="18"/>
                <w:lang w:eastAsia="en-ZA"/>
              </w:rPr>
            </w:pPr>
            <w:r>
              <w:rPr>
                <w:rFonts w:eastAsia="Times New Roman" w:cs="Arial"/>
                <w:i/>
                <w:color w:val="000000"/>
                <w:sz w:val="18"/>
                <w:szCs w:val="18"/>
                <w:lang w:eastAsia="en-ZA"/>
              </w:rPr>
              <w:t>A</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pre-exponential constant</w:t>
            </w:r>
          </w:p>
        </w:tc>
        <w:tc>
          <w:tcPr>
            <w:tcW w:w="992"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vertAlign w:val="subscript"/>
                <w:lang w:eastAsia="en-ZA"/>
              </w:rPr>
            </w:pPr>
            <w:r>
              <w:rPr>
                <w:rFonts w:eastAsia="Times New Roman" w:cs="Arial"/>
                <w:color w:val="000000"/>
                <w:sz w:val="18"/>
                <w:szCs w:val="18"/>
                <w:lang w:eastAsia="en-ZA"/>
              </w:rPr>
              <w:t>δ</w:t>
            </w:r>
            <w:r>
              <w:rPr>
                <w:rFonts w:eastAsia="Times New Roman" w:cs="Arial"/>
                <w:color w:val="000000"/>
                <w:sz w:val="18"/>
                <w:szCs w:val="18"/>
                <w:vertAlign w:val="subscript"/>
                <w:lang w:eastAsia="en-ZA"/>
              </w:rPr>
              <w:t>s</w:t>
            </w:r>
          </w:p>
        </w:tc>
        <w:tc>
          <w:tcPr>
            <w:tcW w:w="3260"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catalyst layer thickness, μm</w:t>
            </w: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a</w:t>
            </w:r>
            <w:r>
              <w:rPr>
                <w:rFonts w:eastAsia="Times New Roman" w:cs="Arial"/>
                <w:i/>
                <w:iCs/>
                <w:color w:val="000000"/>
                <w:sz w:val="18"/>
                <w:szCs w:val="18"/>
                <w:vertAlign w:val="subscript"/>
                <w:lang w:eastAsia="en-ZA"/>
              </w:rPr>
              <w:t>i</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 xml:space="preserve">stoichiometric coefficient of species </w:t>
            </w:r>
            <w:r>
              <w:rPr>
                <w:rFonts w:eastAsia="Times New Roman" w:cs="Arial"/>
                <w:i/>
                <w:iCs/>
                <w:color w:val="000000"/>
                <w:sz w:val="18"/>
                <w:szCs w:val="18"/>
                <w:lang w:eastAsia="en-ZA"/>
              </w:rPr>
              <w:t>i</w:t>
            </w:r>
          </w:p>
        </w:tc>
        <w:tc>
          <w:tcPr>
            <w:tcW w:w="992"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ε</w:t>
            </w:r>
          </w:p>
        </w:tc>
        <w:tc>
          <w:tcPr>
            <w:tcW w:w="3260"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porosity</w:t>
            </w: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m:oMath>
              <m:sSub>
                <m:sSubPr>
                  <m:ctrlPr>
                    <w:rPr>
                      <w:rFonts w:ascii="Cambria Math" w:eastAsia="Times New Roman" w:hAnsi="Cambria Math" w:cs="Arial"/>
                      <w:i/>
                      <w:color w:val="000000"/>
                      <w:sz w:val="18"/>
                      <w:szCs w:val="18"/>
                      <w:lang w:eastAsia="en-ZA"/>
                    </w:rPr>
                  </m:ctrlPr>
                </m:sSubPr>
                <m:e>
                  <m:r>
                    <w:rPr>
                      <w:rFonts w:ascii="Cambria Math" w:eastAsia="Times New Roman" w:hAnsi="Cambria Math" w:cs="Arial"/>
                      <w:color w:val="000000"/>
                      <w:sz w:val="18"/>
                      <w:szCs w:val="18"/>
                      <w:lang w:eastAsia="en-ZA"/>
                    </w:rPr>
                    <m:t>C</m:t>
                  </m:r>
                </m:e>
                <m:sub>
                  <m:sSub>
                    <m:sSubPr>
                      <m:ctrlPr>
                        <w:rPr>
                          <w:rFonts w:ascii="Cambria Math" w:eastAsia="Times New Roman" w:hAnsi="Cambria Math" w:cs="Arial"/>
                          <w:i/>
                          <w:color w:val="000000"/>
                          <w:sz w:val="18"/>
                          <w:szCs w:val="18"/>
                          <w:lang w:eastAsia="en-ZA"/>
                        </w:rPr>
                      </m:ctrlPr>
                    </m:sSubPr>
                    <m:e>
                      <m:r>
                        <w:rPr>
                          <w:rFonts w:ascii="Cambria Math" w:eastAsia="Times New Roman" w:hAnsi="Cambria Math" w:cs="Arial"/>
                          <w:color w:val="000000"/>
                          <w:sz w:val="18"/>
                          <w:szCs w:val="18"/>
                          <w:lang w:eastAsia="en-ZA"/>
                        </w:rPr>
                        <m:t>CO</m:t>
                      </m:r>
                    </m:e>
                    <m:sub>
                      <m:r>
                        <w:rPr>
                          <w:rFonts w:ascii="Cambria Math" w:eastAsia="Times New Roman" w:hAnsi="Cambria Math" w:cs="Arial"/>
                          <w:color w:val="000000"/>
                          <w:sz w:val="18"/>
                          <w:szCs w:val="18"/>
                          <w:lang w:eastAsia="en-ZA"/>
                        </w:rPr>
                        <m:t>2</m:t>
                      </m:r>
                    </m:sub>
                  </m:sSub>
                </m:sub>
              </m:sSub>
            </m:oMath>
            <w:r>
              <w:rPr>
                <w:rFonts w:eastAsia="Times New Roman" w:cs="Arial"/>
                <w:color w:val="000000"/>
                <w:sz w:val="18"/>
                <w:szCs w:val="18"/>
                <w:lang w:eastAsia="en-ZA"/>
              </w:rPr>
              <w:t xml:space="preserve"> </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local CO</w:t>
            </w:r>
            <w:r>
              <w:rPr>
                <w:rFonts w:eastAsia="Times New Roman" w:cs="Arial"/>
                <w:color w:val="000000"/>
                <w:sz w:val="18"/>
                <w:szCs w:val="18"/>
                <w:vertAlign w:val="subscript"/>
                <w:lang w:eastAsia="en-ZA"/>
              </w:rPr>
              <w:t>2</w:t>
            </w:r>
            <w:r>
              <w:rPr>
                <w:rFonts w:eastAsia="Times New Roman" w:cs="Arial"/>
                <w:color w:val="000000"/>
                <w:sz w:val="18"/>
                <w:szCs w:val="18"/>
                <w:lang w:eastAsia="en-ZA"/>
              </w:rPr>
              <w:t xml:space="preserve"> concentration, mol.m</w:t>
            </w:r>
            <w:r>
              <w:rPr>
                <w:rFonts w:eastAsia="Times New Roman" w:cs="Arial"/>
                <w:color w:val="000000"/>
                <w:sz w:val="18"/>
                <w:szCs w:val="18"/>
                <w:vertAlign w:val="superscript"/>
                <w:lang w:eastAsia="en-ZA"/>
              </w:rPr>
              <w:t>-3</w:t>
            </w:r>
          </w:p>
        </w:tc>
        <w:tc>
          <w:tcPr>
            <w:tcW w:w="992"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κ</w:t>
            </w:r>
          </w:p>
        </w:tc>
        <w:tc>
          <w:tcPr>
            <w:tcW w:w="3260"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permeability, m</w:t>
            </w:r>
            <w:r>
              <w:rPr>
                <w:rFonts w:eastAsia="Times New Roman" w:cs="Arial"/>
                <w:color w:val="000000"/>
                <w:sz w:val="18"/>
                <w:szCs w:val="18"/>
                <w:vertAlign w:val="superscript"/>
                <w:lang w:eastAsia="en-ZA"/>
              </w:rPr>
              <w:t>2</w:t>
            </w: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C</w:t>
            </w:r>
            <w:r>
              <w:rPr>
                <w:rFonts w:eastAsia="Times New Roman" w:cs="Arial"/>
                <w:color w:val="000000"/>
                <w:sz w:val="18"/>
                <w:szCs w:val="18"/>
                <w:vertAlign w:val="subscript"/>
                <w:lang w:eastAsia="en-ZA"/>
              </w:rPr>
              <w:t>F</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Forchheimer drag coefficient</w:t>
            </w:r>
          </w:p>
        </w:tc>
        <w:tc>
          <w:tcPr>
            <w:tcW w:w="992"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μ</w:t>
            </w:r>
          </w:p>
        </w:tc>
        <w:tc>
          <w:tcPr>
            <w:tcW w:w="3260"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fluid viscosity, Pa.s</w:t>
            </w: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C</w:t>
            </w:r>
            <w:r>
              <w:rPr>
                <w:rFonts w:eastAsia="Times New Roman" w:cs="Arial"/>
                <w:color w:val="000000"/>
                <w:sz w:val="18"/>
                <w:szCs w:val="18"/>
                <w:vertAlign w:val="subscript"/>
                <w:lang w:eastAsia="en-ZA"/>
              </w:rPr>
              <w:t>p</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specific heat capacity of fluid, J.kg</w:t>
            </w:r>
            <w:r>
              <w:rPr>
                <w:rFonts w:eastAsia="Times New Roman" w:cs="Arial"/>
                <w:color w:val="000000"/>
                <w:sz w:val="18"/>
                <w:szCs w:val="18"/>
                <w:vertAlign w:val="superscript"/>
                <w:lang w:eastAsia="en-ZA"/>
              </w:rPr>
              <w:t>-1</w:t>
            </w:r>
            <w:r>
              <w:rPr>
                <w:rFonts w:eastAsia="Times New Roman" w:cs="Arial"/>
                <w:color w:val="000000"/>
                <w:sz w:val="18"/>
                <w:szCs w:val="18"/>
                <w:lang w:eastAsia="en-ZA"/>
              </w:rPr>
              <w:t>.K</w:t>
            </w:r>
            <w:r>
              <w:rPr>
                <w:rFonts w:eastAsia="Times New Roman" w:cs="Arial"/>
                <w:color w:val="000000"/>
                <w:sz w:val="18"/>
                <w:szCs w:val="18"/>
                <w:vertAlign w:val="superscript"/>
                <w:lang w:eastAsia="en-ZA"/>
              </w:rPr>
              <w:t>-1</w:t>
            </w: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vertAlign w:val="subscript"/>
                <w:lang w:eastAsia="en-ZA"/>
              </w:rPr>
            </w:pPr>
            <w:r>
              <w:rPr>
                <w:rFonts w:eastAsia="Times New Roman" w:cs="Arial"/>
                <w:color w:val="000000"/>
                <w:sz w:val="18"/>
                <w:szCs w:val="18"/>
                <w:lang w:eastAsia="en-ZA"/>
              </w:rPr>
              <w:t>μ</w:t>
            </w:r>
            <w:r>
              <w:rPr>
                <w:rFonts w:eastAsia="Times New Roman" w:cs="Arial"/>
                <w:color w:val="000000"/>
                <w:sz w:val="18"/>
                <w:szCs w:val="18"/>
                <w:vertAlign w:val="subscript"/>
                <w:lang w:eastAsia="en-ZA"/>
              </w:rPr>
              <w:t>eff</w:t>
            </w: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effective Brinkman viscosity, Pa.s</w:t>
            </w: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D</w:t>
            </w:r>
            <w:r>
              <w:rPr>
                <w:rFonts w:eastAsia="Times New Roman" w:cs="Arial"/>
                <w:i/>
                <w:iCs/>
                <w:color w:val="000000"/>
                <w:sz w:val="18"/>
                <w:szCs w:val="18"/>
                <w:vertAlign w:val="subscript"/>
                <w:lang w:eastAsia="en-ZA"/>
              </w:rPr>
              <w:t>ij</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 xml:space="preserve">binary diffusivity of species </w:t>
            </w:r>
            <w:r>
              <w:rPr>
                <w:rFonts w:eastAsia="Times New Roman" w:cs="Arial"/>
                <w:i/>
                <w:iCs/>
                <w:color w:val="000000"/>
                <w:sz w:val="18"/>
                <w:szCs w:val="18"/>
                <w:lang w:eastAsia="en-ZA"/>
              </w:rPr>
              <w:t xml:space="preserve">i </w:t>
            </w:r>
            <w:r>
              <w:rPr>
                <w:rFonts w:eastAsia="Times New Roman" w:cs="Arial"/>
                <w:color w:val="000000"/>
                <w:sz w:val="18"/>
                <w:szCs w:val="18"/>
                <w:lang w:eastAsia="en-ZA"/>
              </w:rPr>
              <w:t>in</w:t>
            </w:r>
            <w:r>
              <w:rPr>
                <w:rFonts w:eastAsia="Times New Roman" w:cs="Arial"/>
                <w:i/>
                <w:iCs/>
                <w:color w:val="000000"/>
                <w:sz w:val="18"/>
                <w:szCs w:val="18"/>
                <w:lang w:eastAsia="en-ZA"/>
              </w:rPr>
              <w:t xml:space="preserve"> j</w:t>
            </w:r>
            <w:r>
              <w:rPr>
                <w:rFonts w:eastAsia="Times New Roman" w:cs="Arial"/>
                <w:color w:val="000000"/>
                <w:sz w:val="18"/>
                <w:szCs w:val="18"/>
                <w:lang w:eastAsia="en-ZA"/>
              </w:rPr>
              <w:t>, m</w:t>
            </w:r>
            <w:r>
              <w:rPr>
                <w:rFonts w:eastAsia="Times New Roman" w:cs="Arial"/>
                <w:color w:val="000000"/>
                <w:sz w:val="18"/>
                <w:szCs w:val="18"/>
                <w:vertAlign w:val="superscript"/>
                <w:lang w:eastAsia="en-ZA"/>
              </w:rPr>
              <w:t>2</w:t>
            </w:r>
            <w:r>
              <w:rPr>
                <w:rFonts w:eastAsia="Times New Roman" w:cs="Arial"/>
                <w:color w:val="000000"/>
                <w:sz w:val="18"/>
                <w:szCs w:val="18"/>
                <w:lang w:eastAsia="en-ZA"/>
              </w:rPr>
              <w:t>.s</w:t>
            </w:r>
            <w:r>
              <w:rPr>
                <w:rFonts w:eastAsia="Times New Roman" w:cs="Arial"/>
                <w:color w:val="000000"/>
                <w:sz w:val="18"/>
                <w:szCs w:val="18"/>
                <w:vertAlign w:val="superscript"/>
                <w:lang w:eastAsia="en-ZA"/>
              </w:rPr>
              <w:t>-1</w:t>
            </w: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ρ</w:t>
            </w: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fluid density, kg.m</w:t>
            </w:r>
            <w:r>
              <w:rPr>
                <w:rFonts w:eastAsia="Times New Roman" w:cs="Arial"/>
                <w:color w:val="000000"/>
                <w:sz w:val="18"/>
                <w:szCs w:val="18"/>
                <w:vertAlign w:val="superscript"/>
                <w:lang w:eastAsia="en-ZA"/>
              </w:rPr>
              <w:t>-3</w:t>
            </w: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D</w:t>
            </w:r>
            <w:r>
              <w:rPr>
                <w:rFonts w:eastAsia="Times New Roman" w:cs="Arial"/>
                <w:i/>
                <w:iCs/>
                <w:color w:val="000000"/>
                <w:sz w:val="18"/>
                <w:szCs w:val="18"/>
                <w:vertAlign w:val="subscript"/>
                <w:lang w:eastAsia="en-ZA"/>
              </w:rPr>
              <w:t xml:space="preserve">ij </w:t>
            </w:r>
            <w:r>
              <w:rPr>
                <w:rFonts w:eastAsia="Times New Roman" w:cs="Arial"/>
                <w:color w:val="000000"/>
                <w:sz w:val="18"/>
                <w:szCs w:val="18"/>
                <w:vertAlign w:val="subscript"/>
                <w:lang w:eastAsia="en-ZA"/>
              </w:rPr>
              <w:t>eff</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 xml:space="preserve">effective binary diffusivity of species </w:t>
            </w:r>
            <w:r>
              <w:rPr>
                <w:rFonts w:eastAsia="Times New Roman" w:cs="Arial"/>
                <w:i/>
                <w:iCs/>
                <w:color w:val="000000"/>
                <w:sz w:val="18"/>
                <w:szCs w:val="18"/>
                <w:lang w:eastAsia="en-ZA"/>
              </w:rPr>
              <w:t>i</w:t>
            </w:r>
            <w:r>
              <w:rPr>
                <w:rFonts w:eastAsia="Times New Roman" w:cs="Arial"/>
                <w:color w:val="000000"/>
                <w:sz w:val="18"/>
                <w:szCs w:val="18"/>
                <w:lang w:eastAsia="en-ZA"/>
              </w:rPr>
              <w:t xml:space="preserve"> in</w:t>
            </w:r>
            <w:r>
              <w:rPr>
                <w:rFonts w:eastAsia="Times New Roman" w:cs="Arial"/>
                <w:i/>
                <w:iCs/>
                <w:color w:val="000000"/>
                <w:sz w:val="18"/>
                <w:szCs w:val="18"/>
                <w:lang w:eastAsia="en-ZA"/>
              </w:rPr>
              <w:t xml:space="preserve"> j</w:t>
            </w:r>
            <w:r>
              <w:rPr>
                <w:rFonts w:eastAsia="Times New Roman" w:cs="Arial"/>
                <w:color w:val="000000"/>
                <w:sz w:val="18"/>
                <w:szCs w:val="18"/>
                <w:lang w:eastAsia="en-ZA"/>
              </w:rPr>
              <w:t>, m</w:t>
            </w:r>
            <w:r>
              <w:rPr>
                <w:rFonts w:eastAsia="Times New Roman" w:cs="Arial"/>
                <w:color w:val="000000"/>
                <w:sz w:val="18"/>
                <w:szCs w:val="18"/>
                <w:vertAlign w:val="superscript"/>
                <w:lang w:eastAsia="en-ZA"/>
              </w:rPr>
              <w:t>2</w:t>
            </w:r>
            <w:r>
              <w:rPr>
                <w:rFonts w:eastAsia="Times New Roman" w:cs="Arial"/>
                <w:color w:val="000000"/>
                <w:sz w:val="18"/>
                <w:szCs w:val="18"/>
                <w:lang w:eastAsia="en-ZA"/>
              </w:rPr>
              <w:t>.s</w:t>
            </w:r>
            <w:r>
              <w:rPr>
                <w:rFonts w:eastAsia="Times New Roman" w:cs="Arial"/>
                <w:color w:val="000000"/>
                <w:sz w:val="18"/>
                <w:szCs w:val="18"/>
                <w:vertAlign w:val="superscript"/>
                <w:lang w:eastAsia="en-ZA"/>
              </w:rPr>
              <w:t>-1</w:t>
            </w: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ρ</w:t>
            </w:r>
            <w:r>
              <w:rPr>
                <w:rFonts w:eastAsia="Times New Roman" w:cs="Arial"/>
                <w:color w:val="000000"/>
                <w:sz w:val="18"/>
                <w:szCs w:val="18"/>
                <w:vertAlign w:val="subscript"/>
                <w:lang w:eastAsia="en-ZA"/>
              </w:rPr>
              <w:t>s</w:t>
            </w: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catalyst density, kg.m</w:t>
            </w:r>
            <w:r>
              <w:rPr>
                <w:rFonts w:eastAsia="Times New Roman" w:cs="Arial"/>
                <w:color w:val="000000"/>
                <w:sz w:val="18"/>
                <w:szCs w:val="18"/>
                <w:vertAlign w:val="superscript"/>
                <w:lang w:eastAsia="en-ZA"/>
              </w:rPr>
              <w:t>-3</w:t>
            </w: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i/>
                <w:color w:val="000000"/>
                <w:sz w:val="18"/>
                <w:szCs w:val="18"/>
                <w:lang w:eastAsia="en-ZA"/>
              </w:rPr>
            </w:pPr>
            <w:r>
              <w:rPr>
                <w:rFonts w:eastAsia="Times New Roman" w:cs="Arial"/>
                <w:i/>
                <w:color w:val="000000"/>
                <w:sz w:val="18"/>
                <w:szCs w:val="18"/>
                <w:lang w:eastAsia="en-ZA"/>
              </w:rPr>
              <w:t>E</w:t>
            </w:r>
            <w:r>
              <w:rPr>
                <w:rFonts w:eastAsia="Times New Roman" w:cs="Arial"/>
                <w:i/>
                <w:color w:val="000000"/>
                <w:sz w:val="18"/>
                <w:szCs w:val="18"/>
                <w:vertAlign w:val="subscript"/>
                <w:lang w:eastAsia="en-ZA"/>
              </w:rPr>
              <w:t>a</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activation energy, J.mol</w:t>
            </w:r>
            <w:r>
              <w:rPr>
                <w:rFonts w:eastAsia="Times New Roman" w:cs="Arial"/>
                <w:color w:val="000000"/>
                <w:sz w:val="18"/>
                <w:szCs w:val="18"/>
                <w:vertAlign w:val="superscript"/>
                <w:lang w:eastAsia="en-ZA"/>
              </w:rPr>
              <w:t>-1</w:t>
            </w: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ω</w:t>
            </w:r>
            <w:r>
              <w:rPr>
                <w:rFonts w:eastAsia="Times New Roman" w:cs="Arial"/>
                <w:i/>
                <w:iCs/>
                <w:color w:val="000000"/>
                <w:sz w:val="18"/>
                <w:szCs w:val="18"/>
                <w:vertAlign w:val="subscript"/>
                <w:lang w:eastAsia="en-ZA"/>
              </w:rPr>
              <w:t>i</w:t>
            </w: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mass fraction of species</w:t>
            </w:r>
            <w:r>
              <w:rPr>
                <w:rFonts w:eastAsia="Times New Roman" w:cs="Arial"/>
                <w:i/>
                <w:iCs/>
                <w:color w:val="000000"/>
                <w:sz w:val="18"/>
                <w:szCs w:val="18"/>
                <w:lang w:eastAsia="en-ZA"/>
              </w:rPr>
              <w:t xml:space="preserve"> i</w:t>
            </w: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H</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channel height, μm</w:t>
            </w:r>
          </w:p>
        </w:tc>
        <w:tc>
          <w:tcPr>
            <w:tcW w:w="4252" w:type="dxa"/>
            <w:gridSpan w:val="2"/>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ΔH</w:t>
            </w:r>
            <w:r>
              <w:rPr>
                <w:rFonts w:eastAsia="Times New Roman" w:cs="Arial"/>
                <w:color w:val="000000"/>
                <w:sz w:val="18"/>
                <w:szCs w:val="18"/>
                <w:vertAlign w:val="subscript"/>
                <w:lang w:eastAsia="en-ZA"/>
              </w:rPr>
              <w:t>r</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heat of reaction, J.mol</w:t>
            </w:r>
            <w:r>
              <w:rPr>
                <w:rFonts w:eastAsia="Times New Roman" w:cs="Arial"/>
                <w:color w:val="000000"/>
                <w:sz w:val="18"/>
                <w:szCs w:val="18"/>
                <w:vertAlign w:val="superscript"/>
                <w:lang w:eastAsia="en-ZA"/>
              </w:rPr>
              <w:t>-1</w:t>
            </w:r>
          </w:p>
        </w:tc>
        <w:tc>
          <w:tcPr>
            <w:tcW w:w="4252" w:type="dxa"/>
            <w:gridSpan w:val="2"/>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i/>
                <w:color w:val="000000"/>
                <w:sz w:val="18"/>
                <w:szCs w:val="18"/>
                <w:lang w:eastAsia="en-ZA"/>
              </w:rPr>
              <w:t>Subscripts and superscripts</w:t>
            </w: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k</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fluid thermal conductivity, W.m</w:t>
            </w:r>
            <w:r>
              <w:rPr>
                <w:rFonts w:eastAsia="Times New Roman" w:cs="Arial"/>
                <w:color w:val="000000"/>
                <w:sz w:val="18"/>
                <w:szCs w:val="18"/>
                <w:vertAlign w:val="superscript"/>
                <w:lang w:eastAsia="en-ZA"/>
              </w:rPr>
              <w:t>-1</w:t>
            </w:r>
            <w:r>
              <w:rPr>
                <w:rFonts w:eastAsia="Times New Roman" w:cs="Arial"/>
                <w:color w:val="000000"/>
                <w:sz w:val="18"/>
                <w:szCs w:val="18"/>
                <w:lang w:eastAsia="en-ZA"/>
              </w:rPr>
              <w:t>.K</w:t>
            </w:r>
            <w:r>
              <w:rPr>
                <w:rFonts w:eastAsia="Times New Roman" w:cs="Arial"/>
                <w:color w:val="000000"/>
                <w:sz w:val="18"/>
                <w:szCs w:val="18"/>
                <w:vertAlign w:val="superscript"/>
                <w:lang w:eastAsia="en-ZA"/>
              </w:rPr>
              <w:t>-1</w:t>
            </w: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k</w:t>
            </w:r>
            <w:r>
              <w:rPr>
                <w:rFonts w:eastAsia="Times New Roman" w:cs="Arial"/>
                <w:color w:val="000000"/>
                <w:sz w:val="18"/>
                <w:szCs w:val="18"/>
                <w:vertAlign w:val="subscript"/>
                <w:lang w:eastAsia="en-ZA"/>
              </w:rPr>
              <w:t>eff</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effective thermal conductivity, W.m</w:t>
            </w:r>
            <w:r>
              <w:rPr>
                <w:rFonts w:eastAsia="Times New Roman" w:cs="Arial"/>
                <w:color w:val="000000"/>
                <w:sz w:val="18"/>
                <w:szCs w:val="18"/>
                <w:vertAlign w:val="superscript"/>
                <w:lang w:eastAsia="en-ZA"/>
              </w:rPr>
              <w:t>-1</w:t>
            </w:r>
            <w:r>
              <w:rPr>
                <w:rFonts w:eastAsia="Times New Roman" w:cs="Arial"/>
                <w:color w:val="000000"/>
                <w:sz w:val="18"/>
                <w:szCs w:val="18"/>
                <w:lang w:eastAsia="en-ZA"/>
              </w:rPr>
              <w:t>.K</w:t>
            </w:r>
            <w:r>
              <w:rPr>
                <w:rFonts w:eastAsia="Times New Roman" w:cs="Arial"/>
                <w:color w:val="000000"/>
                <w:sz w:val="18"/>
                <w:szCs w:val="18"/>
                <w:vertAlign w:val="superscript"/>
                <w:lang w:eastAsia="en-ZA"/>
              </w:rPr>
              <w:t>-1</w:t>
            </w: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atm</w:t>
            </w: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atmosphere</w:t>
            </w: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K</w:t>
            </w:r>
            <w:r>
              <w:rPr>
                <w:rFonts w:eastAsia="Times New Roman" w:cs="Arial"/>
                <w:i/>
                <w:color w:val="000000"/>
                <w:sz w:val="18"/>
                <w:szCs w:val="18"/>
                <w:lang w:eastAsia="en-ZA"/>
              </w:rPr>
              <w:t>(T)</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temperature dependant equilibrium constant</w:t>
            </w: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cat</w:t>
            </w: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catalyst</w:t>
            </w: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L</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channel length, mm</w:t>
            </w: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eff</w:t>
            </w: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effective</w:t>
            </w: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M</w:t>
            </w:r>
            <w:r>
              <w:rPr>
                <w:rFonts w:eastAsia="Times New Roman" w:cs="Arial"/>
                <w:i/>
                <w:iCs/>
                <w:color w:val="000000"/>
                <w:sz w:val="18"/>
                <w:szCs w:val="18"/>
                <w:vertAlign w:val="subscript"/>
                <w:lang w:eastAsia="en-ZA"/>
              </w:rPr>
              <w:t>i</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 xml:space="preserve">molar mass of species </w:t>
            </w:r>
            <w:r>
              <w:rPr>
                <w:rFonts w:eastAsia="Times New Roman" w:cs="Arial"/>
                <w:i/>
                <w:iCs/>
                <w:color w:val="000000"/>
                <w:sz w:val="18"/>
                <w:szCs w:val="18"/>
                <w:lang w:eastAsia="en-ZA"/>
              </w:rPr>
              <w:t>i</w:t>
            </w:r>
            <w:r>
              <w:rPr>
                <w:rFonts w:eastAsia="Times New Roman" w:cs="Arial"/>
                <w:color w:val="000000"/>
                <w:sz w:val="18"/>
                <w:szCs w:val="18"/>
                <w:lang w:eastAsia="en-ZA"/>
              </w:rPr>
              <w:t>, g.mol</w:t>
            </w:r>
            <w:r>
              <w:rPr>
                <w:rFonts w:eastAsia="Times New Roman" w:cs="Arial"/>
                <w:color w:val="000000"/>
                <w:sz w:val="18"/>
                <w:szCs w:val="18"/>
                <w:vertAlign w:val="superscript"/>
                <w:lang w:eastAsia="en-ZA"/>
              </w:rPr>
              <w:t>-1</w:t>
            </w: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in</w:t>
            </w: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inlet</w:t>
            </w: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M</w:t>
            </w:r>
            <w:r>
              <w:rPr>
                <w:rFonts w:eastAsia="Times New Roman" w:cs="Arial"/>
                <w:i/>
                <w:iCs/>
                <w:color w:val="000000"/>
                <w:sz w:val="18"/>
                <w:szCs w:val="18"/>
                <w:vertAlign w:val="subscript"/>
                <w:lang w:eastAsia="en-ZA"/>
              </w:rPr>
              <w:t>j</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 xml:space="preserve">molar mass of species </w:t>
            </w:r>
            <w:r>
              <w:rPr>
                <w:rFonts w:eastAsia="Times New Roman" w:cs="Arial"/>
                <w:i/>
                <w:iCs/>
                <w:color w:val="000000"/>
                <w:sz w:val="18"/>
                <w:szCs w:val="18"/>
                <w:lang w:eastAsia="en-ZA"/>
              </w:rPr>
              <w:t>j</w:t>
            </w:r>
            <w:r>
              <w:rPr>
                <w:rFonts w:eastAsia="Times New Roman" w:cs="Arial"/>
                <w:color w:val="000000"/>
                <w:sz w:val="18"/>
                <w:szCs w:val="18"/>
                <w:lang w:eastAsia="en-ZA"/>
              </w:rPr>
              <w:t>, g.mol</w:t>
            </w:r>
            <w:r>
              <w:rPr>
                <w:rFonts w:eastAsia="Times New Roman" w:cs="Arial"/>
                <w:color w:val="000000"/>
                <w:sz w:val="18"/>
                <w:szCs w:val="18"/>
                <w:vertAlign w:val="superscript"/>
                <w:lang w:eastAsia="en-ZA"/>
              </w:rPr>
              <w:t>-1</w:t>
            </w: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out</w:t>
            </w: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outlet</w:t>
            </w: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i/>
                <w:iCs/>
                <w:color w:val="000000"/>
                <w:sz w:val="18"/>
                <w:szCs w:val="18"/>
                <w:lang w:eastAsia="en-ZA"/>
              </w:rPr>
            </w:pPr>
            <w:r>
              <w:rPr>
                <w:rFonts w:eastAsia="Times New Roman" w:cs="Arial"/>
                <w:i/>
                <w:iCs/>
                <w:color w:val="000000"/>
                <w:sz w:val="18"/>
                <w:szCs w:val="18"/>
                <w:lang w:eastAsia="en-ZA"/>
              </w:rPr>
              <w:t>n</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empirical factor</w:t>
            </w: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r</w:t>
            </w: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reaction</w:t>
            </w: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m:oMath>
              <m:sSub>
                <m:sSubPr>
                  <m:ctrlPr>
                    <w:rPr>
                      <w:rFonts w:ascii="Cambria Math" w:eastAsia="Times New Roman" w:hAnsi="Cambria Math" w:cs="Arial"/>
                      <w:i/>
                      <w:color w:val="000000"/>
                      <w:sz w:val="18"/>
                      <w:szCs w:val="18"/>
                      <w:lang w:eastAsia="en-ZA"/>
                    </w:rPr>
                  </m:ctrlPr>
                </m:sSubPr>
                <m:e>
                  <m:acc>
                    <m:accPr>
                      <m:chr m:val="̇"/>
                      <m:ctrlPr>
                        <w:rPr>
                          <w:rFonts w:ascii="Cambria Math" w:eastAsia="Times New Roman" w:hAnsi="Cambria Math" w:cs="Arial"/>
                          <w:i/>
                          <w:color w:val="000000"/>
                          <w:sz w:val="18"/>
                          <w:szCs w:val="18"/>
                          <w:lang w:eastAsia="en-ZA"/>
                        </w:rPr>
                      </m:ctrlPr>
                    </m:accPr>
                    <m:e>
                      <m:r>
                        <w:rPr>
                          <w:rFonts w:ascii="Cambria Math" w:eastAsia="Times New Roman" w:hAnsi="Cambria Math" w:cs="Arial"/>
                          <w:color w:val="000000"/>
                          <w:sz w:val="18"/>
                          <w:szCs w:val="18"/>
                          <w:lang w:eastAsia="en-ZA"/>
                        </w:rPr>
                        <m:t>n</m:t>
                      </m:r>
                    </m:e>
                  </m:acc>
                </m:e>
                <m:sub>
                  <m:sSub>
                    <m:sSubPr>
                      <m:ctrlPr>
                        <w:rPr>
                          <w:rFonts w:ascii="Cambria Math" w:eastAsia="Times New Roman" w:hAnsi="Cambria Math" w:cs="Arial"/>
                          <w:i/>
                          <w:color w:val="000000"/>
                          <w:sz w:val="18"/>
                          <w:szCs w:val="18"/>
                          <w:lang w:eastAsia="en-ZA"/>
                        </w:rPr>
                      </m:ctrlPr>
                    </m:sSubPr>
                    <m:e>
                      <m:r>
                        <w:rPr>
                          <w:rFonts w:ascii="Cambria Math" w:eastAsia="Times New Roman" w:hAnsi="Cambria Math" w:cs="Arial"/>
                          <w:color w:val="000000"/>
                          <w:sz w:val="18"/>
                          <w:szCs w:val="18"/>
                          <w:lang w:eastAsia="en-ZA"/>
                        </w:rPr>
                        <m:t>T</m:t>
                      </m:r>
                    </m:e>
                    <m:sub>
                      <m:r>
                        <w:rPr>
                          <w:rFonts w:ascii="Cambria Math" w:eastAsia="Times New Roman" w:hAnsi="Cambria Math" w:cs="Arial"/>
                          <w:color w:val="000000"/>
                          <w:sz w:val="18"/>
                          <w:szCs w:val="18"/>
                          <w:lang w:eastAsia="en-ZA"/>
                        </w:rPr>
                        <m:t>in</m:t>
                      </m:r>
                    </m:sub>
                  </m:sSub>
                </m:sub>
              </m:sSub>
            </m:oMath>
            <w:r>
              <w:rPr>
                <w:rFonts w:eastAsia="Times New Roman" w:cs="Arial"/>
                <w:color w:val="000000"/>
                <w:sz w:val="18"/>
                <w:szCs w:val="18"/>
                <w:lang w:eastAsia="en-ZA"/>
              </w:rPr>
              <w:t xml:space="preserve"> </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total mole flow at inlet, mol.s</w:t>
            </w:r>
            <w:r>
              <w:rPr>
                <w:rFonts w:eastAsia="Times New Roman" w:cs="Arial"/>
                <w:color w:val="000000"/>
                <w:sz w:val="18"/>
                <w:szCs w:val="18"/>
                <w:vertAlign w:val="superscript"/>
                <w:lang w:eastAsia="en-ZA"/>
              </w:rPr>
              <w:t>-1</w:t>
            </w: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s</w:t>
            </w: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catalyst</w:t>
            </w: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m:oMath>
              <m:sSub>
                <m:sSubPr>
                  <m:ctrlPr>
                    <w:rPr>
                      <w:rFonts w:ascii="Cambria Math" w:eastAsia="Times New Roman" w:hAnsi="Cambria Math" w:cs="Arial"/>
                      <w:i/>
                      <w:color w:val="000000"/>
                      <w:sz w:val="18"/>
                      <w:szCs w:val="18"/>
                      <w:lang w:eastAsia="en-ZA"/>
                    </w:rPr>
                  </m:ctrlPr>
                </m:sSubPr>
                <m:e>
                  <m:acc>
                    <m:accPr>
                      <m:chr m:val="̇"/>
                      <m:ctrlPr>
                        <w:rPr>
                          <w:rFonts w:ascii="Cambria Math" w:eastAsia="Times New Roman" w:hAnsi="Cambria Math" w:cs="Arial"/>
                          <w:i/>
                          <w:color w:val="000000"/>
                          <w:sz w:val="18"/>
                          <w:szCs w:val="18"/>
                          <w:lang w:eastAsia="en-ZA"/>
                        </w:rPr>
                      </m:ctrlPr>
                    </m:accPr>
                    <m:e>
                      <m:r>
                        <w:rPr>
                          <w:rFonts w:ascii="Cambria Math" w:eastAsia="Times New Roman" w:hAnsi="Cambria Math" w:cs="Arial"/>
                          <w:color w:val="000000"/>
                          <w:sz w:val="18"/>
                          <w:szCs w:val="18"/>
                          <w:lang w:eastAsia="en-ZA"/>
                        </w:rPr>
                        <m:t>n</m:t>
                      </m:r>
                    </m:e>
                  </m:acc>
                </m:e>
                <m:sub>
                  <m:sSub>
                    <m:sSubPr>
                      <m:ctrlPr>
                        <w:rPr>
                          <w:rFonts w:ascii="Cambria Math" w:eastAsia="Times New Roman" w:hAnsi="Cambria Math" w:cs="Arial"/>
                          <w:i/>
                          <w:color w:val="000000"/>
                          <w:sz w:val="18"/>
                          <w:szCs w:val="18"/>
                          <w:lang w:eastAsia="en-ZA"/>
                        </w:rPr>
                      </m:ctrlPr>
                    </m:sSubPr>
                    <m:e>
                      <m:r>
                        <w:rPr>
                          <w:rFonts w:ascii="Cambria Math" w:eastAsia="Times New Roman" w:hAnsi="Cambria Math" w:cs="Arial"/>
                          <w:color w:val="000000"/>
                          <w:sz w:val="18"/>
                          <w:szCs w:val="18"/>
                          <w:lang w:eastAsia="en-ZA"/>
                        </w:rPr>
                        <m:t>T</m:t>
                      </m:r>
                    </m:e>
                    <m:sub>
                      <m:r>
                        <w:rPr>
                          <w:rFonts w:ascii="Cambria Math" w:eastAsia="Times New Roman" w:hAnsi="Cambria Math" w:cs="Arial"/>
                          <w:color w:val="000000"/>
                          <w:sz w:val="18"/>
                          <w:szCs w:val="18"/>
                          <w:lang w:eastAsia="en-ZA"/>
                        </w:rPr>
                        <m:t>out</m:t>
                      </m:r>
                    </m:sub>
                  </m:sSub>
                </m:sub>
              </m:sSub>
            </m:oMath>
            <w:r>
              <w:rPr>
                <w:rFonts w:eastAsia="Times New Roman" w:cs="Arial"/>
                <w:color w:val="000000"/>
                <w:sz w:val="18"/>
                <w:szCs w:val="18"/>
                <w:lang w:eastAsia="en-ZA"/>
              </w:rPr>
              <w:t xml:space="preserve"> </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total mole flow at outlet, mol.s</w:t>
            </w:r>
            <w:r>
              <w:rPr>
                <w:rFonts w:eastAsia="Times New Roman" w:cs="Arial"/>
                <w:color w:val="000000"/>
                <w:sz w:val="18"/>
                <w:szCs w:val="18"/>
                <w:vertAlign w:val="superscript"/>
                <w:lang w:eastAsia="en-ZA"/>
              </w:rPr>
              <w:t>-1</w:t>
            </w: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p>
        </w:tc>
      </w:tr>
      <w:tr>
        <w:trPr>
          <w:trHeight w:val="300"/>
        </w:trPr>
        <w:tc>
          <w:tcPr>
            <w:tcW w:w="817" w:type="dxa"/>
            <w:shd w:val="clear" w:color="auto" w:fill="D9D9D9" w:themeFill="background1" w:themeFillShade="D9"/>
            <w:noWrap/>
            <w:vAlign w:val="center"/>
          </w:tcPr>
          <w:p>
            <w:pPr>
              <w:spacing w:after="0" w:line="240" w:lineRule="auto"/>
              <w:jc w:val="left"/>
              <w:rPr>
                <w:color w:val="000000"/>
                <w:sz w:val="18"/>
                <w:szCs w:val="18"/>
                <w:lang w:eastAsia="en-ZA"/>
              </w:rPr>
            </w:pPr>
            <w:r>
              <w:rPr>
                <w:color w:val="000000"/>
                <w:sz w:val="18"/>
                <w:szCs w:val="18"/>
                <w:lang w:eastAsia="en-ZA"/>
              </w:rPr>
              <w:t>P</w:t>
            </w:r>
          </w:p>
        </w:tc>
        <w:tc>
          <w:tcPr>
            <w:tcW w:w="4111"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pressure, Pa</w:t>
            </w:r>
          </w:p>
        </w:tc>
        <w:tc>
          <w:tcPr>
            <w:tcW w:w="4252" w:type="dxa"/>
            <w:gridSpan w:val="2"/>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i/>
                <w:color w:val="000000"/>
                <w:sz w:val="18"/>
                <w:szCs w:val="18"/>
                <w:lang w:eastAsia="en-ZA"/>
              </w:rPr>
              <w:t>Abbreviations</w:t>
            </w: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P</w:t>
            </w:r>
            <w:r>
              <w:rPr>
                <w:rFonts w:eastAsia="Times New Roman" w:cs="Arial"/>
                <w:color w:val="000000"/>
                <w:sz w:val="18"/>
                <w:szCs w:val="18"/>
                <w:vertAlign w:val="subscript"/>
                <w:lang w:eastAsia="en-ZA"/>
              </w:rPr>
              <w:t>atm</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pressure, atm</w:t>
            </w: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p>
        </w:tc>
        <w:tc>
          <w:tcPr>
            <w:tcW w:w="3260" w:type="dxa"/>
            <w:shd w:val="clear" w:color="auto" w:fill="D9D9D9" w:themeFill="background1" w:themeFillShade="D9"/>
            <w:vAlign w:val="center"/>
          </w:tcPr>
          <w:p>
            <w:pPr>
              <w:spacing w:after="0" w:line="240" w:lineRule="auto"/>
              <w:jc w:val="left"/>
              <w:rPr>
                <w:rFonts w:eastAsia="Times New Roman" w:cs="Arial"/>
                <w:color w:val="000000"/>
                <w:sz w:val="18"/>
                <w:szCs w:val="18"/>
                <w:lang w:eastAsia="en-ZA"/>
              </w:rPr>
            </w:pP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p</w:t>
            </w:r>
            <w:r>
              <w:rPr>
                <w:rFonts w:eastAsia="Times New Roman" w:cs="Arial"/>
                <w:i/>
                <w:iCs/>
                <w:color w:val="000000"/>
                <w:sz w:val="18"/>
                <w:szCs w:val="18"/>
                <w:vertAlign w:val="subscript"/>
                <w:lang w:eastAsia="en-ZA"/>
              </w:rPr>
              <w:t>i</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 xml:space="preserve">partial pressure of species </w:t>
            </w:r>
            <w:r>
              <w:rPr>
                <w:rFonts w:eastAsia="Times New Roman" w:cs="Arial"/>
                <w:i/>
                <w:iCs/>
                <w:color w:val="000000"/>
                <w:sz w:val="18"/>
                <w:szCs w:val="18"/>
                <w:lang w:eastAsia="en-ZA"/>
              </w:rPr>
              <w:t>i</w:t>
            </w:r>
            <w:r>
              <w:rPr>
                <w:rFonts w:eastAsia="Times New Roman" w:cs="Arial"/>
                <w:color w:val="000000"/>
                <w:sz w:val="18"/>
                <w:szCs w:val="18"/>
                <w:lang w:eastAsia="en-ZA"/>
              </w:rPr>
              <w:t>, bar</w:t>
            </w: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CFD</w:t>
            </w:r>
          </w:p>
        </w:tc>
        <w:tc>
          <w:tcPr>
            <w:tcW w:w="3260" w:type="dxa"/>
            <w:shd w:val="clear" w:color="auto" w:fill="D9D9D9" w:themeFill="background1" w:themeFillShade="D9"/>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computational fluid dynamic</w:t>
            </w: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R</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ideal gas constant, Pa.m</w:t>
            </w:r>
            <w:r>
              <w:rPr>
                <w:rFonts w:eastAsia="Times New Roman" w:cs="Arial"/>
                <w:color w:val="000000"/>
                <w:sz w:val="18"/>
                <w:szCs w:val="18"/>
                <w:vertAlign w:val="superscript"/>
                <w:lang w:eastAsia="en-ZA"/>
              </w:rPr>
              <w:t>3</w:t>
            </w:r>
            <w:r>
              <w:rPr>
                <w:rFonts w:eastAsia="Times New Roman" w:cs="Arial"/>
                <w:color w:val="000000"/>
                <w:sz w:val="18"/>
                <w:szCs w:val="18"/>
                <w:lang w:eastAsia="en-ZA"/>
              </w:rPr>
              <w:t>.mol</w:t>
            </w:r>
            <w:r>
              <w:rPr>
                <w:rFonts w:eastAsia="Times New Roman" w:cs="Arial"/>
                <w:color w:val="000000"/>
                <w:sz w:val="18"/>
                <w:szCs w:val="18"/>
                <w:vertAlign w:val="superscript"/>
                <w:lang w:eastAsia="en-ZA"/>
              </w:rPr>
              <w:t>-1</w:t>
            </w:r>
            <w:r>
              <w:rPr>
                <w:rFonts w:eastAsia="Times New Roman" w:cs="Arial"/>
                <w:color w:val="000000"/>
                <w:sz w:val="18"/>
                <w:szCs w:val="18"/>
                <w:lang w:eastAsia="en-ZA"/>
              </w:rPr>
              <w:t>.K</w:t>
            </w:r>
            <w:r>
              <w:rPr>
                <w:rFonts w:eastAsia="Times New Roman" w:cs="Arial"/>
                <w:color w:val="000000"/>
                <w:sz w:val="18"/>
                <w:szCs w:val="18"/>
                <w:vertAlign w:val="superscript"/>
                <w:lang w:eastAsia="en-ZA"/>
              </w:rPr>
              <w:t>-1</w:t>
            </w: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d.b</w:t>
            </w:r>
          </w:p>
        </w:tc>
        <w:tc>
          <w:tcPr>
            <w:tcW w:w="3260" w:type="dxa"/>
            <w:shd w:val="clear" w:color="auto" w:fill="D9D9D9" w:themeFill="background1" w:themeFillShade="D9"/>
            <w:noWrap/>
            <w:vAlign w:val="center"/>
          </w:tcPr>
          <w:p>
            <w:pPr>
              <w:spacing w:after="0" w:line="240" w:lineRule="auto"/>
              <w:jc w:val="left"/>
              <w:rPr>
                <w:rFonts w:eastAsia="Times New Roman" w:cs="Arial"/>
                <w:sz w:val="18"/>
                <w:szCs w:val="18"/>
                <w:lang w:eastAsia="en-ZA"/>
              </w:rPr>
            </w:pPr>
            <w:r>
              <w:rPr>
                <w:rFonts w:eastAsia="Times New Roman" w:cs="Arial"/>
                <w:color w:val="000000"/>
                <w:sz w:val="18"/>
                <w:szCs w:val="18"/>
                <w:lang w:eastAsia="en-ZA"/>
              </w:rPr>
              <w:t>dry basis</w:t>
            </w: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R</w:t>
            </w:r>
            <w:r>
              <w:rPr>
                <w:rFonts w:eastAsia="Times New Roman" w:cs="Arial"/>
                <w:color w:val="000000"/>
                <w:sz w:val="18"/>
                <w:szCs w:val="18"/>
                <w:vertAlign w:val="subscript"/>
                <w:lang w:eastAsia="en-ZA"/>
              </w:rPr>
              <w:t>r</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reaction rate, mol.kg</w:t>
            </w:r>
            <w:r>
              <w:rPr>
                <w:rFonts w:eastAsia="Times New Roman" w:cs="Arial"/>
                <w:color w:val="000000"/>
                <w:sz w:val="18"/>
                <w:szCs w:val="18"/>
                <w:vertAlign w:val="superscript"/>
                <w:lang w:eastAsia="en-ZA"/>
              </w:rPr>
              <w:t>-1</w:t>
            </w:r>
            <w:r>
              <w:rPr>
                <w:rFonts w:eastAsia="Times New Roman" w:cs="Arial"/>
                <w:color w:val="000000"/>
                <w:sz w:val="18"/>
                <w:szCs w:val="18"/>
                <w:lang w:eastAsia="en-ZA"/>
              </w:rPr>
              <w:t>.s</w:t>
            </w:r>
            <w:r>
              <w:rPr>
                <w:rFonts w:eastAsia="Times New Roman" w:cs="Arial"/>
                <w:color w:val="000000"/>
                <w:sz w:val="18"/>
                <w:szCs w:val="18"/>
                <w:vertAlign w:val="superscript"/>
                <w:lang w:eastAsia="en-ZA"/>
              </w:rPr>
              <w:t>-1</w:t>
            </w: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GHSV</w:t>
            </w: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 xml:space="preserve">gas hourly space velocity, </w:t>
            </w:r>
            <w:r>
              <w:rPr>
                <w:sz w:val="18"/>
                <w:szCs w:val="18"/>
              </w:rPr>
              <w:t>L.g</w:t>
            </w:r>
            <w:r>
              <w:rPr>
                <w:sz w:val="18"/>
                <w:szCs w:val="18"/>
                <w:vertAlign w:val="subscript"/>
              </w:rPr>
              <w:t>cat</w:t>
            </w:r>
            <w:r>
              <w:rPr>
                <w:sz w:val="18"/>
                <w:szCs w:val="18"/>
                <w:vertAlign w:val="superscript"/>
              </w:rPr>
              <w:t>-1</w:t>
            </w:r>
            <w:r>
              <w:rPr>
                <w:sz w:val="18"/>
                <w:szCs w:val="18"/>
              </w:rPr>
              <w:t>.h</w:t>
            </w:r>
            <w:r>
              <w:rPr>
                <w:sz w:val="18"/>
                <w:szCs w:val="18"/>
                <w:vertAlign w:val="superscript"/>
              </w:rPr>
              <w:t>-1</w:t>
            </w: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r</w:t>
            </w:r>
            <w:r>
              <w:rPr>
                <w:rFonts w:eastAsia="Times New Roman" w:cs="Arial"/>
                <w:color w:val="000000"/>
                <w:sz w:val="18"/>
                <w:szCs w:val="18"/>
                <w:vertAlign w:val="subscript"/>
                <w:lang w:eastAsia="en-ZA"/>
              </w:rPr>
              <w:t>RWGS</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RWGS reaction rate, mol.m</w:t>
            </w:r>
            <w:r>
              <w:rPr>
                <w:rFonts w:eastAsia="Times New Roman" w:cs="Arial"/>
                <w:color w:val="000000"/>
                <w:sz w:val="18"/>
                <w:szCs w:val="18"/>
                <w:vertAlign w:val="superscript"/>
                <w:lang w:eastAsia="en-ZA"/>
              </w:rPr>
              <w:t>-3</w:t>
            </w:r>
            <w:r>
              <w:rPr>
                <w:rFonts w:eastAsia="Times New Roman" w:cs="Arial"/>
                <w:color w:val="000000"/>
                <w:sz w:val="18"/>
                <w:szCs w:val="18"/>
                <w:lang w:eastAsia="en-ZA"/>
              </w:rPr>
              <w:t>.s</w:t>
            </w:r>
            <w:r>
              <w:rPr>
                <w:rFonts w:eastAsia="Times New Roman" w:cs="Arial"/>
                <w:color w:val="000000"/>
                <w:sz w:val="18"/>
                <w:szCs w:val="18"/>
                <w:vertAlign w:val="superscript"/>
                <w:lang w:eastAsia="en-ZA"/>
              </w:rPr>
              <w:t>-1</w:t>
            </w: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P2G</w:t>
            </w: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power-to-gas</w:t>
            </w:r>
          </w:p>
        </w:tc>
      </w:tr>
      <w:tr>
        <w:trPr>
          <w:trHeight w:val="300"/>
        </w:trPr>
        <w:tc>
          <w:tcPr>
            <w:tcW w:w="817"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r</w:t>
            </w:r>
            <w:r>
              <w:rPr>
                <w:rFonts w:eastAsia="Times New Roman" w:cs="Arial"/>
                <w:color w:val="000000"/>
                <w:sz w:val="18"/>
                <w:szCs w:val="18"/>
                <w:vertAlign w:val="subscript"/>
                <w:lang w:eastAsia="en-ZA"/>
              </w:rPr>
              <w:t>SB</w:t>
            </w:r>
          </w:p>
        </w:tc>
        <w:tc>
          <w:tcPr>
            <w:tcW w:w="4111"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Sabatier reaction rate, mol.m</w:t>
            </w:r>
            <w:r>
              <w:rPr>
                <w:rFonts w:eastAsia="Times New Roman" w:cs="Arial"/>
                <w:color w:val="000000"/>
                <w:sz w:val="18"/>
                <w:szCs w:val="18"/>
                <w:vertAlign w:val="superscript"/>
                <w:lang w:eastAsia="en-ZA"/>
              </w:rPr>
              <w:t>-3</w:t>
            </w:r>
            <w:r>
              <w:rPr>
                <w:rFonts w:eastAsia="Times New Roman" w:cs="Arial"/>
                <w:color w:val="000000"/>
                <w:sz w:val="18"/>
                <w:szCs w:val="18"/>
                <w:lang w:eastAsia="en-ZA"/>
              </w:rPr>
              <w:t>.s</w:t>
            </w:r>
            <w:r>
              <w:rPr>
                <w:rFonts w:eastAsia="Times New Roman" w:cs="Arial"/>
                <w:color w:val="000000"/>
                <w:sz w:val="18"/>
                <w:szCs w:val="18"/>
                <w:vertAlign w:val="superscript"/>
                <w:lang w:eastAsia="en-ZA"/>
              </w:rPr>
              <w:t>-1</w:t>
            </w: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PV</w:t>
            </w: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photovoltaic</w:t>
            </w: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t</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time, s</w:t>
            </w: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RES</w:t>
            </w: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renewable energy sources</w:t>
            </w:r>
          </w:p>
        </w:tc>
      </w:tr>
      <w:tr>
        <w:trPr>
          <w:trHeight w:val="300"/>
        </w:trPr>
        <w:tc>
          <w:tcPr>
            <w:tcW w:w="817"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T</w:t>
            </w:r>
          </w:p>
        </w:tc>
        <w:tc>
          <w:tcPr>
            <w:tcW w:w="4111"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temperature, K</w:t>
            </w: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RWGS</w:t>
            </w: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reverse-water-gas-shift</w:t>
            </w:r>
          </w:p>
        </w:tc>
      </w:tr>
      <w:tr>
        <w:trPr>
          <w:trHeight w:val="300"/>
        </w:trPr>
        <w:tc>
          <w:tcPr>
            <w:tcW w:w="817"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T</w:t>
            </w:r>
            <w:r>
              <w:rPr>
                <w:rFonts w:eastAsia="Times New Roman" w:cs="Arial"/>
                <w:color w:val="000000"/>
                <w:sz w:val="18"/>
                <w:szCs w:val="18"/>
                <w:vertAlign w:val="subscript"/>
                <w:lang w:eastAsia="en-ZA"/>
              </w:rPr>
              <w:t>0</w:t>
            </w:r>
          </w:p>
        </w:tc>
        <w:tc>
          <w:tcPr>
            <w:tcW w:w="4111"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reference temperature, K</w:t>
            </w: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TCD</w:t>
            </w: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thermal conductivity detector</w:t>
            </w: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v</w:t>
            </w:r>
            <w:r>
              <w:rPr>
                <w:rFonts w:eastAsia="Times New Roman" w:cs="Arial"/>
                <w:i/>
                <w:iCs/>
                <w:color w:val="000000"/>
                <w:sz w:val="18"/>
                <w:szCs w:val="18"/>
                <w:vertAlign w:val="subscript"/>
                <w:lang w:eastAsia="en-ZA"/>
              </w:rPr>
              <w:t>i</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 xml:space="preserve">atomic diffusion volume of species </w:t>
            </w:r>
            <w:r>
              <w:rPr>
                <w:rFonts w:eastAsia="Times New Roman" w:cs="Arial"/>
                <w:i/>
                <w:iCs/>
                <w:color w:val="000000"/>
                <w:sz w:val="18"/>
                <w:szCs w:val="18"/>
                <w:lang w:eastAsia="en-ZA"/>
              </w:rPr>
              <w:t>i</w:t>
            </w:r>
            <w:r>
              <w:rPr>
                <w:rFonts w:eastAsia="Times New Roman" w:cs="Arial"/>
                <w:color w:val="000000"/>
                <w:sz w:val="18"/>
                <w:szCs w:val="18"/>
                <w:lang w:eastAsia="en-ZA"/>
              </w:rPr>
              <w:t>, cm</w:t>
            </w:r>
            <w:r>
              <w:rPr>
                <w:rFonts w:eastAsia="Times New Roman" w:cs="Arial"/>
                <w:color w:val="000000"/>
                <w:sz w:val="18"/>
                <w:szCs w:val="18"/>
                <w:vertAlign w:val="superscript"/>
                <w:lang w:eastAsia="en-ZA"/>
              </w:rPr>
              <w:t>3</w:t>
            </w:r>
            <w:r>
              <w:rPr>
                <w:rFonts w:eastAsia="Times New Roman" w:cs="Arial"/>
                <w:color w:val="000000"/>
                <w:sz w:val="18"/>
                <w:szCs w:val="18"/>
                <w:lang w:eastAsia="en-ZA"/>
              </w:rPr>
              <w:t>.mol</w:t>
            </w:r>
            <w:r>
              <w:rPr>
                <w:rFonts w:eastAsia="Times New Roman" w:cs="Arial"/>
                <w:color w:val="000000"/>
                <w:sz w:val="18"/>
                <w:szCs w:val="18"/>
                <w:vertAlign w:val="superscript"/>
                <w:lang w:eastAsia="en-ZA"/>
              </w:rPr>
              <w:t>-1</w:t>
            </w: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wt.</w:t>
            </w: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weight</w:t>
            </w: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v</w:t>
            </w:r>
            <w:r>
              <w:rPr>
                <w:rFonts w:eastAsia="Times New Roman" w:cs="Arial"/>
                <w:i/>
                <w:iCs/>
                <w:color w:val="000000"/>
                <w:sz w:val="18"/>
                <w:szCs w:val="18"/>
                <w:vertAlign w:val="subscript"/>
                <w:lang w:eastAsia="en-ZA"/>
              </w:rPr>
              <w:t>j</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 xml:space="preserve">atomic diffusion volume of species </w:t>
            </w:r>
            <w:r>
              <w:rPr>
                <w:rFonts w:eastAsia="Times New Roman" w:cs="Arial"/>
                <w:i/>
                <w:iCs/>
                <w:color w:val="000000"/>
                <w:sz w:val="18"/>
                <w:szCs w:val="18"/>
                <w:lang w:eastAsia="en-ZA"/>
              </w:rPr>
              <w:t>j</w:t>
            </w:r>
            <w:r>
              <w:rPr>
                <w:rFonts w:eastAsia="Times New Roman" w:cs="Arial"/>
                <w:color w:val="000000"/>
                <w:sz w:val="18"/>
                <w:szCs w:val="18"/>
                <w:lang w:eastAsia="en-ZA"/>
              </w:rPr>
              <w:t>, cm</w:t>
            </w:r>
            <w:r>
              <w:rPr>
                <w:rFonts w:eastAsia="Times New Roman" w:cs="Arial"/>
                <w:color w:val="000000"/>
                <w:sz w:val="18"/>
                <w:szCs w:val="18"/>
                <w:vertAlign w:val="superscript"/>
                <w:lang w:eastAsia="en-ZA"/>
              </w:rPr>
              <w:t>3</w:t>
            </w:r>
            <w:r>
              <w:rPr>
                <w:rFonts w:eastAsia="Times New Roman" w:cs="Arial"/>
                <w:color w:val="000000"/>
                <w:sz w:val="18"/>
                <w:szCs w:val="18"/>
                <w:lang w:eastAsia="en-ZA"/>
              </w:rPr>
              <w:t>.mol</w:t>
            </w:r>
            <w:r>
              <w:rPr>
                <w:rFonts w:eastAsia="Times New Roman" w:cs="Arial"/>
                <w:color w:val="000000"/>
                <w:sz w:val="18"/>
                <w:szCs w:val="18"/>
                <w:vertAlign w:val="superscript"/>
                <w:lang w:eastAsia="en-ZA"/>
              </w:rPr>
              <w:t>-1</w:t>
            </w: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v</w:t>
            </w:r>
            <w:r>
              <w:rPr>
                <w:rFonts w:eastAsia="Times New Roman" w:cs="Arial"/>
                <w:color w:val="000000"/>
                <w:sz w:val="18"/>
                <w:szCs w:val="18"/>
                <w:vertAlign w:val="subscript"/>
                <w:lang w:eastAsia="en-ZA"/>
              </w:rPr>
              <w:t>x</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axial velocity in x direction, m.s</w:t>
            </w:r>
            <w:r>
              <w:rPr>
                <w:rFonts w:eastAsia="Times New Roman" w:cs="Arial"/>
                <w:color w:val="000000"/>
                <w:sz w:val="18"/>
                <w:szCs w:val="18"/>
                <w:vertAlign w:val="superscript"/>
                <w:lang w:eastAsia="en-ZA"/>
              </w:rPr>
              <w:t>-1</w:t>
            </w:r>
          </w:p>
        </w:tc>
        <w:tc>
          <w:tcPr>
            <w:tcW w:w="992" w:type="dxa"/>
            <w:shd w:val="clear" w:color="auto" w:fill="D9D9D9" w:themeFill="background1" w:themeFillShade="D9"/>
            <w:noWrap/>
            <w:vAlign w:val="center"/>
          </w:tcPr>
          <w:p>
            <w:pPr>
              <w:tabs>
                <w:tab w:val="left" w:pos="601"/>
              </w:tabs>
              <w:spacing w:after="0" w:line="240" w:lineRule="auto"/>
              <w:jc w:val="left"/>
              <w:rPr>
                <w:rFonts w:eastAsia="Times New Roman" w:cs="Arial"/>
                <w:color w:val="000000"/>
                <w:sz w:val="18"/>
                <w:szCs w:val="18"/>
                <w:lang w:eastAsia="en-ZA"/>
              </w:rPr>
            </w:pP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p>
        </w:tc>
      </w:tr>
      <w:tr>
        <w:trPr>
          <w:trHeight w:val="300"/>
        </w:trPr>
        <w:tc>
          <w:tcPr>
            <w:tcW w:w="817"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b/>
                <w:bCs/>
                <w:color w:val="000000"/>
                <w:sz w:val="18"/>
                <w:szCs w:val="18"/>
                <w:lang w:eastAsia="en-ZA"/>
              </w:rPr>
              <w:t>u</w:t>
            </w:r>
          </w:p>
        </w:tc>
        <w:tc>
          <w:tcPr>
            <w:tcW w:w="4111" w:type="dxa"/>
            <w:shd w:val="clear" w:color="auto" w:fill="D9D9D9" w:themeFill="background1" w:themeFillShade="D9"/>
            <w:noWrap/>
            <w:vAlign w:val="center"/>
            <w:hideMark/>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fluid velocity vector</w:t>
            </w:r>
          </w:p>
        </w:tc>
        <w:tc>
          <w:tcPr>
            <w:tcW w:w="992" w:type="dxa"/>
            <w:shd w:val="clear" w:color="auto" w:fill="D9D9D9" w:themeFill="background1" w:themeFillShade="D9"/>
            <w:noWrap/>
            <w:vAlign w:val="center"/>
          </w:tcPr>
          <w:p>
            <w:pPr>
              <w:tabs>
                <w:tab w:val="left" w:pos="601"/>
              </w:tabs>
              <w:spacing w:after="0" w:line="240" w:lineRule="auto"/>
              <w:jc w:val="left"/>
              <w:rPr>
                <w:rFonts w:eastAsia="Times New Roman" w:cs="Arial"/>
                <w:color w:val="000000"/>
                <w:sz w:val="18"/>
                <w:szCs w:val="18"/>
                <w:lang w:eastAsia="en-ZA"/>
              </w:rPr>
            </w:pP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p>
        </w:tc>
      </w:tr>
      <w:tr>
        <w:trPr>
          <w:trHeight w:val="300"/>
        </w:trPr>
        <w:tc>
          <w:tcPr>
            <w:tcW w:w="817"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W</w:t>
            </w:r>
          </w:p>
        </w:tc>
        <w:tc>
          <w:tcPr>
            <w:tcW w:w="4111"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channel width, μm</w:t>
            </w:r>
          </w:p>
        </w:tc>
        <w:tc>
          <w:tcPr>
            <w:tcW w:w="992" w:type="dxa"/>
            <w:shd w:val="clear" w:color="auto" w:fill="D9D9D9" w:themeFill="background1" w:themeFillShade="D9"/>
            <w:noWrap/>
            <w:vAlign w:val="center"/>
          </w:tcPr>
          <w:p>
            <w:pPr>
              <w:tabs>
                <w:tab w:val="left" w:pos="601"/>
              </w:tabs>
              <w:spacing w:after="0" w:line="240" w:lineRule="auto"/>
              <w:jc w:val="left"/>
              <w:rPr>
                <w:rFonts w:eastAsia="Times New Roman" w:cs="Arial"/>
                <w:color w:val="000000"/>
                <w:sz w:val="18"/>
                <w:szCs w:val="18"/>
                <w:lang w:eastAsia="en-ZA"/>
              </w:rPr>
            </w:pP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p>
        </w:tc>
      </w:tr>
      <w:tr>
        <w:trPr>
          <w:trHeight w:val="300"/>
        </w:trPr>
        <w:tc>
          <w:tcPr>
            <w:tcW w:w="817"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m:oMath>
              <m:sSub>
                <m:sSubPr>
                  <m:ctrlPr>
                    <w:rPr>
                      <w:rFonts w:ascii="Cambria Math" w:eastAsia="Times New Roman" w:hAnsi="Cambria Math" w:cs="Arial"/>
                      <w:i/>
                      <w:color w:val="000000"/>
                      <w:sz w:val="18"/>
                      <w:szCs w:val="18"/>
                      <w:lang w:eastAsia="en-ZA"/>
                    </w:rPr>
                  </m:ctrlPr>
                </m:sSubPr>
                <m:e>
                  <m:r>
                    <w:rPr>
                      <w:rFonts w:ascii="Cambria Math" w:eastAsia="Times New Roman" w:hAnsi="Cambria Math" w:cs="Arial"/>
                      <w:color w:val="000000"/>
                      <w:sz w:val="18"/>
                      <w:szCs w:val="18"/>
                      <w:lang w:eastAsia="en-ZA"/>
                    </w:rPr>
                    <m:t>X</m:t>
                  </m:r>
                </m:e>
                <m:sub>
                  <m:sSub>
                    <m:sSubPr>
                      <m:ctrlPr>
                        <w:rPr>
                          <w:rFonts w:ascii="Cambria Math" w:eastAsia="Times New Roman" w:hAnsi="Cambria Math" w:cs="Arial"/>
                          <w:i/>
                          <w:color w:val="000000"/>
                          <w:sz w:val="18"/>
                          <w:szCs w:val="18"/>
                          <w:lang w:eastAsia="en-ZA"/>
                        </w:rPr>
                      </m:ctrlPr>
                    </m:sSubPr>
                    <m:e>
                      <m:r>
                        <w:rPr>
                          <w:rFonts w:ascii="Cambria Math" w:eastAsia="Times New Roman" w:hAnsi="Cambria Math" w:cs="Arial"/>
                          <w:color w:val="000000"/>
                          <w:sz w:val="18"/>
                          <w:szCs w:val="18"/>
                          <w:lang w:eastAsia="en-ZA"/>
                        </w:rPr>
                        <m:t>CO</m:t>
                      </m:r>
                    </m:e>
                    <m:sub>
                      <m:r>
                        <w:rPr>
                          <w:rFonts w:ascii="Cambria Math" w:eastAsia="Times New Roman" w:hAnsi="Cambria Math" w:cs="Arial"/>
                          <w:color w:val="000000"/>
                          <w:sz w:val="18"/>
                          <w:szCs w:val="18"/>
                          <w:lang w:eastAsia="en-ZA"/>
                        </w:rPr>
                        <m:t>2</m:t>
                      </m:r>
                    </m:sub>
                  </m:sSub>
                </m:sub>
              </m:sSub>
            </m:oMath>
            <w:r>
              <w:rPr>
                <w:rFonts w:eastAsia="Times New Roman" w:cs="Arial"/>
                <w:color w:val="000000"/>
                <w:sz w:val="18"/>
                <w:szCs w:val="18"/>
                <w:lang w:eastAsia="en-ZA"/>
              </w:rPr>
              <w:t xml:space="preserve"> </w:t>
            </w:r>
          </w:p>
        </w:tc>
        <w:tc>
          <w:tcPr>
            <w:tcW w:w="4111"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CO</w:t>
            </w:r>
            <w:r>
              <w:rPr>
                <w:rFonts w:eastAsia="Times New Roman" w:cs="Arial"/>
                <w:color w:val="000000"/>
                <w:sz w:val="18"/>
                <w:szCs w:val="18"/>
                <w:vertAlign w:val="subscript"/>
                <w:lang w:eastAsia="en-ZA"/>
              </w:rPr>
              <w:t>2</w:t>
            </w:r>
            <w:r>
              <w:rPr>
                <w:rFonts w:eastAsia="Times New Roman" w:cs="Arial"/>
                <w:color w:val="000000"/>
                <w:sz w:val="18"/>
                <w:szCs w:val="18"/>
                <w:lang w:eastAsia="en-ZA"/>
              </w:rPr>
              <w:t xml:space="preserve"> conversion, %</w:t>
            </w: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p>
        </w:tc>
      </w:tr>
      <w:tr>
        <w:trPr>
          <w:trHeight w:val="300"/>
        </w:trPr>
        <w:tc>
          <w:tcPr>
            <w:tcW w:w="817" w:type="dxa"/>
            <w:shd w:val="clear" w:color="auto" w:fill="D9D9D9" w:themeFill="background1" w:themeFillShade="D9"/>
            <w:noWrap/>
            <w:vAlign w:val="center"/>
          </w:tcPr>
          <w:p>
            <w:pPr>
              <w:spacing w:after="0" w:line="240" w:lineRule="auto"/>
              <w:jc w:val="left"/>
              <w:rPr>
                <w:rFonts w:eastAsia="Times New Roman" w:cs="Arial"/>
                <w:b/>
                <w:bCs/>
                <w:color w:val="000000"/>
                <w:sz w:val="18"/>
                <w:szCs w:val="18"/>
                <w:lang w:eastAsia="en-ZA"/>
              </w:rPr>
            </w:pPr>
            <m:oMath>
              <m:sSub>
                <m:sSubPr>
                  <m:ctrlPr>
                    <w:rPr>
                      <w:rFonts w:ascii="Cambria Math" w:eastAsia="Times New Roman" w:hAnsi="Cambria Math" w:cs="Arial"/>
                      <w:i/>
                      <w:color w:val="000000"/>
                      <w:sz w:val="18"/>
                      <w:szCs w:val="18"/>
                      <w:lang w:eastAsia="en-ZA"/>
                    </w:rPr>
                  </m:ctrlPr>
                </m:sSubPr>
                <m:e>
                  <m:r>
                    <w:rPr>
                      <w:rFonts w:ascii="Cambria Math" w:eastAsia="Times New Roman" w:hAnsi="Cambria Math" w:cs="Arial"/>
                      <w:color w:val="000000"/>
                      <w:sz w:val="18"/>
                      <w:szCs w:val="18"/>
                      <w:lang w:eastAsia="en-ZA"/>
                    </w:rPr>
                    <m:t>Y</m:t>
                  </m:r>
                </m:e>
                <m:sub>
                  <m:sSub>
                    <m:sSubPr>
                      <m:ctrlPr>
                        <w:rPr>
                          <w:rFonts w:ascii="Cambria Math" w:eastAsia="Times New Roman" w:hAnsi="Cambria Math" w:cs="Arial"/>
                          <w:i/>
                          <w:color w:val="000000"/>
                          <w:sz w:val="18"/>
                          <w:szCs w:val="18"/>
                          <w:lang w:eastAsia="en-ZA"/>
                        </w:rPr>
                      </m:ctrlPr>
                    </m:sSubPr>
                    <m:e>
                      <m:r>
                        <w:rPr>
                          <w:rFonts w:ascii="Cambria Math" w:eastAsia="Times New Roman" w:hAnsi="Cambria Math" w:cs="Arial"/>
                          <w:color w:val="000000"/>
                          <w:sz w:val="18"/>
                          <w:szCs w:val="18"/>
                          <w:lang w:eastAsia="en-ZA"/>
                        </w:rPr>
                        <m:t>CH</m:t>
                      </m:r>
                    </m:e>
                    <m:sub>
                      <m:r>
                        <w:rPr>
                          <w:rFonts w:ascii="Cambria Math" w:eastAsia="Times New Roman" w:hAnsi="Cambria Math" w:cs="Arial"/>
                          <w:color w:val="000000"/>
                          <w:sz w:val="18"/>
                          <w:szCs w:val="18"/>
                          <w:lang w:eastAsia="en-ZA"/>
                        </w:rPr>
                        <m:t>4</m:t>
                      </m:r>
                    </m:sub>
                  </m:sSub>
                </m:sub>
              </m:sSub>
            </m:oMath>
            <w:r>
              <w:rPr>
                <w:rFonts w:eastAsia="Times New Roman" w:cs="Arial"/>
                <w:color w:val="000000"/>
                <w:sz w:val="18"/>
                <w:szCs w:val="18"/>
                <w:lang w:eastAsia="en-ZA"/>
              </w:rPr>
              <w:t xml:space="preserve"> </w:t>
            </w:r>
          </w:p>
        </w:tc>
        <w:tc>
          <w:tcPr>
            <w:tcW w:w="4111"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CH</w:t>
            </w:r>
            <w:r>
              <w:rPr>
                <w:rFonts w:eastAsia="Times New Roman" w:cs="Arial"/>
                <w:color w:val="000000"/>
                <w:sz w:val="18"/>
                <w:szCs w:val="18"/>
                <w:vertAlign w:val="subscript"/>
                <w:lang w:eastAsia="en-ZA"/>
              </w:rPr>
              <w:t>4</w:t>
            </w:r>
            <w:r>
              <w:rPr>
                <w:rFonts w:eastAsia="Times New Roman" w:cs="Arial"/>
                <w:color w:val="000000"/>
                <w:sz w:val="18"/>
                <w:szCs w:val="18"/>
                <w:lang w:eastAsia="en-ZA"/>
              </w:rPr>
              <w:t xml:space="preserve"> yield, %</w:t>
            </w: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p>
        </w:tc>
      </w:tr>
      <w:tr>
        <w:trPr>
          <w:trHeight w:val="300"/>
        </w:trPr>
        <w:tc>
          <w:tcPr>
            <w:tcW w:w="817"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y</w:t>
            </w:r>
            <w:r>
              <w:rPr>
                <w:rFonts w:eastAsia="Times New Roman" w:cs="Arial"/>
                <w:i/>
                <w:iCs/>
                <w:color w:val="000000"/>
                <w:sz w:val="18"/>
                <w:szCs w:val="18"/>
                <w:vertAlign w:val="subscript"/>
                <w:lang w:eastAsia="en-ZA"/>
              </w:rPr>
              <w:t>i</w:t>
            </w:r>
          </w:p>
        </w:tc>
        <w:tc>
          <w:tcPr>
            <w:tcW w:w="4111"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r>
              <w:rPr>
                <w:rFonts w:eastAsia="Times New Roman" w:cs="Arial"/>
                <w:color w:val="000000"/>
                <w:sz w:val="18"/>
                <w:szCs w:val="18"/>
                <w:lang w:eastAsia="en-ZA"/>
              </w:rPr>
              <w:t xml:space="preserve">mole fraction of species </w:t>
            </w:r>
            <w:r>
              <w:rPr>
                <w:rFonts w:eastAsia="Times New Roman" w:cs="Arial"/>
                <w:i/>
                <w:iCs/>
                <w:color w:val="000000"/>
                <w:sz w:val="18"/>
                <w:szCs w:val="18"/>
                <w:lang w:eastAsia="en-ZA"/>
              </w:rPr>
              <w:t>i</w:t>
            </w: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p>
        </w:tc>
      </w:tr>
      <w:tr>
        <w:trPr>
          <w:trHeight w:val="300"/>
        </w:trPr>
        <w:tc>
          <w:tcPr>
            <w:tcW w:w="817"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p>
        </w:tc>
        <w:tc>
          <w:tcPr>
            <w:tcW w:w="4111"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p>
        </w:tc>
        <w:tc>
          <w:tcPr>
            <w:tcW w:w="992"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p>
        </w:tc>
        <w:tc>
          <w:tcPr>
            <w:tcW w:w="3260" w:type="dxa"/>
            <w:shd w:val="clear" w:color="auto" w:fill="D9D9D9" w:themeFill="background1" w:themeFillShade="D9"/>
            <w:noWrap/>
            <w:vAlign w:val="center"/>
          </w:tcPr>
          <w:p>
            <w:pPr>
              <w:spacing w:after="0" w:line="240" w:lineRule="auto"/>
              <w:jc w:val="left"/>
              <w:rPr>
                <w:rFonts w:eastAsia="Times New Roman" w:cs="Arial"/>
                <w:color w:val="000000"/>
                <w:sz w:val="18"/>
                <w:szCs w:val="18"/>
                <w:lang w:eastAsia="en-ZA"/>
              </w:rPr>
            </w:pPr>
          </w:p>
        </w:tc>
      </w:tr>
    </w:tbl>
    <w:p>
      <w:pPr>
        <w:spacing w:line="480" w:lineRule="auto"/>
        <w:rPr>
          <w:rFonts w:eastAsia="Times New Roman" w:cs="Arial"/>
          <w:sz w:val="16"/>
          <w:szCs w:val="16"/>
          <w:lang w:eastAsia="en-ZA"/>
        </w:rPr>
      </w:pPr>
    </w:p>
    <w:p>
      <w:pPr>
        <w:spacing w:line="480" w:lineRule="auto"/>
        <w:rPr>
          <w:rFonts w:eastAsia="Times New Roman" w:cs="Arial"/>
          <w:sz w:val="16"/>
          <w:szCs w:val="16"/>
          <w:lang w:eastAsia="en-ZA"/>
        </w:rPr>
      </w:pPr>
    </w:p>
    <w:p>
      <w:pPr>
        <w:pStyle w:val="Heading1"/>
        <w:rPr>
          <w:rFonts w:cs="Arial"/>
          <w:lang w:val="en-US" w:eastAsia="en-ZA" w:bidi="en-US"/>
        </w:rPr>
      </w:pPr>
      <w:r>
        <w:rPr>
          <w:rFonts w:cs="Arial"/>
          <w:lang w:val="en-US" w:eastAsia="en-ZA" w:bidi="en-US"/>
        </w:rPr>
        <w:lastRenderedPageBreak/>
        <w:t>1. Introduction</w:t>
      </w:r>
    </w:p>
    <w:p>
      <w:pPr>
        <w:spacing w:line="480" w:lineRule="auto"/>
        <w:ind w:firstLine="720"/>
        <w:rPr>
          <w:rFonts w:cs="Arial"/>
          <w:lang w:val="en-US" w:eastAsia="en-ZA" w:bidi="en-US"/>
        </w:rPr>
      </w:pPr>
      <w:r>
        <w:rPr>
          <w:rFonts w:cs="Arial"/>
          <w:lang w:val="en-US" w:eastAsia="en-ZA" w:bidi="en-US"/>
        </w:rPr>
        <w:t xml:space="preserve"> Renewable energy sources (RES) such as solar and wind are increasingly gaining acceptance as a significant portion of sustainable energy portfolios across many countries. Indeed, various developments have recently been made on photovoltaic (PV) and wind turbine technologies to exploit renewable sources for large-scale power generation </w:t>
      </w:r>
      <w:r>
        <w:rPr>
          <w:rFonts w:cs="Arial"/>
          <w:lang w:val="en-US" w:eastAsia="en-ZA" w:bidi="en-US"/>
        </w:rPr>
        <w:fldChar w:fldCharType="begin" w:fldLock="1"/>
      </w:r>
      <w:r>
        <w:rPr>
          <w:rFonts w:cs="Arial"/>
          <w:lang w:val="en-US" w:eastAsia="en-ZA" w:bidi="en-US"/>
        </w:rPr>
        <w:instrText>ADDIN CSL_CITATION { "citationItems" : [ { "id" : "ITEM-1", "itemData" : { "DOI" : "10.1016/j.rser.2015.01.049", "ISBN" : "13640321", "ISSN" : "13640321", "abstract" : "The large-scale deployment of renewable energy sources (RES) is an important aspect of decarbonising the energy supply, and represents a key part of the German Energiewende. However, significantly increasing the share of renewable power in the energy mix implies coping with the natural intermittency of RES like wind and solar. RES development also does not directly address non-electric energy needs such as fuels for transportation and industry feedstock, which are presently relying on fossil fuels. Therefore, the conversion of surplus renewable electricity (RES-E) into the more convenient form of a liquid or gas (power-to-liquid and power-to-gas) could help offset RES intermittency while providing a diverse mix of energy carriers. If recycled CO2 is used in the fuel synthesis process, overall emissions can be greatly reduced. This paper aims to sketch the possible contribution of RES-E combined with power-to-gas (PtG) and power-to-liquid (PtL) schemes in the 2050 German energy system, by modelling an increase in installed renewable power. Different scenarios are laid out and compared, and the results are utilised in a basic economic assessment of the fuel production cost for an hypothetical power-to-liquid plant.", "author" : [ { "dropping-particle" : "", "family" : "Varone", "given" : "Alberto", "non-dropping-particle" : "", "parse-names" : false, "suffix" : "" }, { "dropping-particle" : "", "family" : "Ferrari", "given" : "Michele", "non-dropping-particle" : "", "parse-names" : false, "suffix" : "" } ], "container-title" : "Renewable and Sustainable Energy Reviews", "id" : "ITEM-1", "issued" : { "date-parts" : [ [ "2015" ] ] }, "page" : "207-218", "title" : "Power to liquid and power to gas: An option for the German Energiewende", "type" : "article-journal", "volume" : "45" }, "uris" : [ "http://www.mendeley.com/documents/?uuid=173dd3a9-174d-4304-850d-390fc740e856" ] } ], "mendeley" : { "formattedCitation" : "[1]", "plainTextFormattedCitation" : "[1]", "previouslyFormattedCitation" : "[1]" }, "properties" : { "noteIndex" : 0 }, "schema" : "https://github.com/citation-style-language/schema/raw/master/csl-citation.json" }</w:instrText>
      </w:r>
      <w:r>
        <w:rPr>
          <w:rFonts w:cs="Arial"/>
          <w:lang w:val="en-US" w:eastAsia="en-ZA" w:bidi="en-US"/>
        </w:rPr>
        <w:fldChar w:fldCharType="separate"/>
      </w:r>
      <w:r>
        <w:rPr>
          <w:rFonts w:cs="Arial"/>
          <w:noProof/>
          <w:lang w:val="en-US" w:eastAsia="en-ZA" w:bidi="en-US"/>
        </w:rPr>
        <w:t>[1]</w:t>
      </w:r>
      <w:r>
        <w:rPr>
          <w:rFonts w:cs="Arial"/>
          <w:lang w:val="en-US" w:eastAsia="en-ZA" w:bidi="en-US"/>
        </w:rPr>
        <w:fldChar w:fldCharType="end"/>
      </w:r>
      <w:r>
        <w:rPr>
          <w:rFonts w:cs="Arial"/>
          <w:lang w:val="en-US" w:eastAsia="en-ZA" w:bidi="en-US"/>
        </w:rPr>
        <w:t xml:space="preserve">. Despite the recent technological advancements, the intermittency and fluctuation of solar and wind remain arguably the most important challenge in integrating renewable energy sources to the existing grid </w:t>
      </w:r>
      <w:r>
        <w:rPr>
          <w:rFonts w:cs="Arial"/>
          <w:lang w:val="en-US" w:eastAsia="en-ZA" w:bidi="en-US"/>
        </w:rPr>
        <w:fldChar w:fldCharType="begin" w:fldLock="1"/>
      </w:r>
      <w:r>
        <w:rPr>
          <w:rFonts w:cs="Arial"/>
          <w:lang w:val="en-US" w:eastAsia="en-ZA" w:bidi="en-US"/>
        </w:rPr>
        <w:instrText>ADDIN CSL_CITATION { "citationItems" : [ { "id" : "ITEM-1", "itemData" : { "DOI" : "10.1016/j.ijhydene.2015.03.066", "ISSN" : "03603199", "abstract" : "Power-to-Substitute-Natural-Gas (SNG) processes are studied since they can offer solutions for renewable energy storage and transportation. In the present study, an original Power-to-SNG process combining high-temperature steam electrolysis and CO&lt;inf&gt;2&lt;/inf&gt; methanation is economically assessed. This evaluation is based on experimental data describing the electrolyser performance and its degradation during long-term operation. These data are obtained on a commercial single cell. Tests are originally conducted by imposing voltage and steam conversion rate. The main conclusions of this experimental work are that two fields of current density evolution are evidenced in the tested conditions: a first transient one where the current density absolute value decreases very quickly, followed by a second field where the evolution of current density achieves a steady state. The influence of the operating point seems not significant once this state is achieved. The process assessed here has been developed in a previous work where a precise framework matching with a wide range of applications was defined. The design of the process main units and the calculation of matter and energy fluxes are based on this work. To go further, the economic assessment of this process is proposed. In this study, various scenarios of initial performance of the electrolyser are considered and integrate the performance degradation associated. The SNG production cost is estimated between 211 and 570 ???/MWh&lt;inf&gt;HHV&lt;/inf&gt; according to the scenario and the hypotheses considered. The two major items accounting for this high cost are the purchase cost of the electrolyser and its performance degradation. It also evidenced that none of the other items can be neglected. Through a sensitivity analysis, it is shown that an increase of plant annual availability and capacity makes the SNG production cost decrease.", "author" : [ { "dropping-particle" : "", "family" : "Saint Jean", "given" : "Myriam", "non-dropping-particle" : "De", "parse-names" : false, "suffix" : "" }, { "dropping-particle" : "", "family" : "Baurens", "given" : "Pierre", "non-dropping-particle" : "", "parse-names" : false, "suffix" : "" }, { "dropping-particle" : "", "family" : "Bouallou", "given" : "Chakib", "non-dropping-particle" : "", "parse-names" : false, "suffix" : "" }, { "dropping-particle" : "", "family" : "Couturier", "given" : "Karine", "non-dropping-particle" : "", "parse-names" : false, "suffix" : "" } ], "container-title" : "International Journal of Hydrogen Energy", "id" : "ITEM-1", "issue" : "20", "issued" : { "date-parts" : [ [ "2015" ] ] }, "page" : "6487-6500", "title" : "Economic assessment of a power-to-substitute-natural-gas process including high-temperature steam electrolysis", "type" : "article-journal", "volume" : "40" }, "uris" : [ "http://www.mendeley.com/documents/?uuid=020c1226-a0da-49a6-b5e5-f8b318c028f6" ] }, { "id" : "ITEM-2", "itemData" : { "DOI" : "10.1186/s13705-014-0029-1", "ISSN" : "2192-0567", "abstract" : "This article presents some crucial findings of the joint research project entitled \u00abStorage of electric energy from renewable sources in the natural gas grid-water electrolysis and synthesis of gas components\u00bb. The project was funded by BMBF and aimed at developing viable concepts for the storage of excess electrical energy from wind and solar power plants. The concept presented in this article suggests the conversion of CO 2 -containing gases into methane in a pressurized reactor using hydrogen produced via electrolysis. The produced gas can be upgraded to synthetic natural gas (SNG) and fed into the well-developed German natural gas grid. This concept benefits from the high storage capacity of the German gas grid and does not require any extensions of the current gas or power grid. The reaction heat released by the exothermic methanation reaction leads to a temperature rise of the gas in the fixed bed catalyst of the reactor. The conversion of carbon dioxide is limited in accordance to the chemical equilibrium which depends strongly on temperature and pressure. For maximum carbon dioxide conversion, it is convenient to split the methanation into several stages adding cooling sections in between. This article focuses on the methanation process and its transfer onto an industrial scale evaluating the different plant capacities and feedstock mixtures used. The methanation takes place in a staged fixed bed reactor. This staged reactor concept is an in-house development based on know-how from the sulfuric acid production technology.", "author" : [ { "dropping-particle" : "", "family" : "Schaaf", "given" : "Tanja", "non-dropping-particle" : "", "parse-names" : false, "suffix" : "" }, { "dropping-particle" : "", "family" : "Gr\u00fcnig", "given" : "Jochen", "non-dropping-particle" : "", "parse-names" : false, "suffix" : "" }, { "dropping-particle" : "", "family" : "Schuster", "given" : "Markus Roman", "non-dropping-particle" : "", "parse-names" : false, "suffix" : "" }, { "dropping-particle" : "", "family" : "Rothenfluh", "given" : "Tobias", "non-dropping-particle" : "", "parse-names" : false, "suffix" : "" }, { "dropping-particle" : "", "family" : "Orth", "given" : "Andreas", "non-dropping-particle" : "", "parse-names" : false, "suffix" : "" } ], "container-title" : "Energy, Sustainability and Society", "id" : "ITEM-2", "issue" : "1", "issued" : { "date-parts" : [ [ "2014" ] ] }, "page" : "1-14", "title" : "Methanation of CO2 - storage of renewable energy in a gas distribution system", "type" : "article-journal", "volume" : "4" }, "uris" : [ "http://www.mendeley.com/documents/?uuid=6d9e6459-c7c8-4ef6-b936-5cd254a18724" ] } ], "mendeley" : { "formattedCitation" : "[2,3]", "plainTextFormattedCitation" : "[2,3]", "previouslyFormattedCitation" : "[2,3]" }, "properties" : { "noteIndex" : 0 }, "schema" : "https://github.com/citation-style-language/schema/raw/master/csl-citation.json" }</w:instrText>
      </w:r>
      <w:r>
        <w:rPr>
          <w:rFonts w:cs="Arial"/>
          <w:lang w:val="en-US" w:eastAsia="en-ZA" w:bidi="en-US"/>
        </w:rPr>
        <w:fldChar w:fldCharType="separate"/>
      </w:r>
      <w:r>
        <w:rPr>
          <w:rFonts w:cs="Arial"/>
          <w:noProof/>
          <w:lang w:val="en-US" w:eastAsia="en-ZA" w:bidi="en-US"/>
        </w:rPr>
        <w:t>[2,3]</w:t>
      </w:r>
      <w:r>
        <w:rPr>
          <w:rFonts w:cs="Arial"/>
          <w:lang w:val="en-US" w:eastAsia="en-ZA" w:bidi="en-US"/>
        </w:rPr>
        <w:fldChar w:fldCharType="end"/>
      </w:r>
      <w:r>
        <w:rPr>
          <w:rFonts w:cs="Arial"/>
          <w:lang w:val="en-US" w:eastAsia="en-ZA" w:bidi="en-US"/>
        </w:rPr>
        <w:t xml:space="preserve">. Recently, Sterner </w:t>
      </w:r>
      <w:r>
        <w:rPr>
          <w:rFonts w:cs="Arial"/>
          <w:lang w:val="en-US" w:eastAsia="en-ZA" w:bidi="en-US"/>
        </w:rPr>
        <w:fldChar w:fldCharType="begin" w:fldLock="1"/>
      </w:r>
      <w:r>
        <w:rPr>
          <w:rFonts w:cs="Arial"/>
          <w:lang w:val="en-US" w:eastAsia="en-ZA" w:bidi="en-US"/>
        </w:rPr>
        <w:instrText>ADDIN CSL_CITATION { "citationItems" : [ { "id" : "ITEM-1", "itemData" : { "ISBN" : "9783899587982", "abstract" : "The two major challenges in global energy systems are to reduce energy-related greenhouse gas emissions and to maintain energy supply security. This thesis presents one solution to both problems. It proposes strategies for the transformation of current energy systems into 100% renewable, stable and almost emission-free energy systems without making use of nuclear energy or carbon capture and storage. Within renewable energy systems, one is facing two difficulties: On the one hand, the fluctuating renewable sources need to be matched with the energy demand, on the other hand, a substitution for high energy density fuels in heat and transport has to be found. Therefore, this thesis examines bioenergy and the newly developed renewable power methane or renewable methane concerning their potential to solve these problems. First, bioenergy is analyzed in the broader context of climate change, energy systems and land use in order to estimate the sustainable potential of global bioenergy. Then, a techno-economic and ecologic analysis of 78 bioenergy pathways is done in order to identify the strategic role of bioenergy in future energy systems. The potential is linked with this analysis to identify the range of maximum greenhouse gas reduction potential of bioenergy (2.5-16 Gt CO2-eq. yr-1). Due to land-use competition and emissions from land-use, residues are to be favored as biomass source over energy crops. However, the limited bioenergy potential will neither be sufficient to balance fluctuating renewable power nor to fully replace fossil fuels in heat and transport. Second, to solve this bioenergy bottleneck, a new approach of converting renewable power into methane via hydrogen and CO2 methanation is developed. Several integrated concepts with CO2 from air, biomass, and fossil fuels are designed. In this way, renewable power can be stored in the natural gas network and used temporarily and spatially flexible for balancing power, for process heat and for long-distance transportation. It can be produced basically anywhere where water, air and renewable power are available and thus decrease import dependence on fossil fuels. It can recycle CO2 in the energy system or even act as carbon sink in combination with CO2 storage. Third, the necessary transformation of energy systems is performed. The key elements are direct renewable power generation, renewable electromobility, heat pumps, renewable power methane and overcoming traditional biomass. By integrating sm\u2026", "author" : [ { "dropping-particle" : "", "family" : "Sterner", "given" : "Michael", "non-dropping-particle" : "", "parse-names" : false, "suffix" : "" } ], "container-title" : "Transformation", "id" : "ITEM-1", "issued" : { "date-parts" : [ [ "2009" ] ] }, "number-of-pages" : "230", "title" : "Bioenergy and renewable power methane in integrated 100% renewable energy systems. Limiting global warming by transforming energy systems", "type" : "book", "volume" : "14" }, "uris" : [ "http://www.mendeley.com/documents/?uuid=3c3fc143-2a67-4290-babb-321982f5e24d" ] } ], "mendeley" : { "formattedCitation" : "[4]", "plainTextFormattedCitation" : "[4]", "previouslyFormattedCitation" : "[4]" }, "properties" : { "noteIndex" : 0 }, "schema" : "https://github.com/citation-style-language/schema/raw/master/csl-citation.json" }</w:instrText>
      </w:r>
      <w:r>
        <w:rPr>
          <w:rFonts w:cs="Arial"/>
          <w:lang w:val="en-US" w:eastAsia="en-ZA" w:bidi="en-US"/>
        </w:rPr>
        <w:fldChar w:fldCharType="separate"/>
      </w:r>
      <w:r>
        <w:rPr>
          <w:rFonts w:cs="Arial"/>
          <w:noProof/>
          <w:lang w:val="en-US" w:eastAsia="en-ZA" w:bidi="en-US"/>
        </w:rPr>
        <w:t>[4]</w:t>
      </w:r>
      <w:r>
        <w:rPr>
          <w:rFonts w:cs="Arial"/>
          <w:lang w:val="en-US" w:eastAsia="en-ZA" w:bidi="en-US"/>
        </w:rPr>
        <w:fldChar w:fldCharType="end"/>
      </w:r>
      <w:r>
        <w:rPr>
          <w:rFonts w:cs="Arial"/>
          <w:lang w:val="en-US" w:eastAsia="en-ZA" w:bidi="en-US"/>
        </w:rPr>
        <w:t xml:space="preserve"> introduced the concept of power-to-gas (P2G) in Germany’s “Energiewende” with the idea of storing excess renewable energy generated using renewable hydrogen. Essentially, the excess power generated by these renewables is harnessed in producing hydrogen (H</w:t>
      </w:r>
      <w:r>
        <w:rPr>
          <w:rFonts w:cs="Arial"/>
          <w:vertAlign w:val="subscript"/>
          <w:lang w:val="en-US" w:eastAsia="en-ZA" w:bidi="en-US"/>
        </w:rPr>
        <w:t>2</w:t>
      </w:r>
      <w:r>
        <w:rPr>
          <w:rFonts w:cs="Arial"/>
          <w:lang w:val="en-US" w:eastAsia="en-ZA" w:bidi="en-US"/>
        </w:rPr>
        <w:t xml:space="preserve">) through the water electrolysis process </w:t>
      </w:r>
      <w:r>
        <w:rPr>
          <w:rFonts w:cs="Arial"/>
          <w:lang w:val="en-US" w:eastAsia="en-ZA" w:bidi="en-US"/>
        </w:rPr>
        <w:fldChar w:fldCharType="begin" w:fldLock="1"/>
      </w:r>
      <w:r>
        <w:rPr>
          <w:rFonts w:cs="Arial"/>
          <w:lang w:val="en-US" w:eastAsia="en-ZA" w:bidi="en-US"/>
        </w:rPr>
        <w:instrText>ADDIN CSL_CITATION { "citationItems" : [ { "id" : "ITEM-1", "itemData" : { "DOI" : "10.1016/j.ijhydene.2015.01.123", "ISBN" : "9780000000002", "ISSN" : "03603199", "abstract" : "The issue of limited fossil fuels combined with the vast technological improvements in recent years has initiated numerous installations of renewable power production, particularly in form of photovoltaic cells and wind turbines. Since the volatile character of wind and solar radiation leads to a fluctuating power production, these renewables are incapable of providing reliable base load power. To enable the transition to a renewable energy system, large-scale energy storage is required to compensate for short-term and seasonal imbalances and to save temporary excess power. Due to the order of magnitude involved, this can best be achieved by converting electricity into hydrogen via electrolysis, a process that is also called \"power to gas\". Hereby, hydrogen can serve as a link combining the electricity, traffic and heating sector into one energy market. This paper presents the process chains of different power-to-gas paths, including different transformation technologies, which it evaluates with regard to their suitability for applications, the optional methanation step including the necessary production of CO2, distribution options and geological storage options as well as end-user applications. Finally, the use of hydrogen and methane in transportation and reconversion to power are compared from the economic point of view.", "author" : [ { "dropping-particle" : "", "family" : "Schiebahn", "given" : "Sebastian", "non-dropping-particle" : "", "parse-names" : false, "suffix" : "" }, { "dropping-particle" : "", "family" : "Grube", "given" : "Thomas", "non-dropping-particle" : "", "parse-names" : false, "suffix" : "" }, { "dropping-particle" : "", "family" : "Robinius", "given" : "Martin", "non-dropping-particle" : "", "parse-names" : false, "suffix" : "" }, { "dropping-particle" : "", "family" : "Tietze", "given" : "Vanessa", "non-dropping-particle" : "", "parse-names" : false, "suffix" : "" }, { "dropping-particle" : "", "family" : "Kumar", "given" : "Bhunesh", "non-dropping-particle" : "", "parse-names" : false, "suffix" : "" }, { "dropping-particle" : "", "family" : "Stolten", "given" : "Detlef", "non-dropping-particle" : "", "parse-names" : false, "suffix" : "" } ], "container-title" : "International Journal of Hydrogen Energy", "id" : "ITEM-1", "issue" : "12", "issued" : { "date-parts" : [ [ "2015" ] ] }, "page" : "4285-4294", "publisher" : "Elsevier Ltd", "title" : "Power to gas: Technological overview, systems analysis and economic assessment for a case study in Germany", "type" : "article-journal", "volume" : "40" }, "uris" : [ "http://www.mendeley.com/documents/?uuid=17d2e778-ba08-4f58-babc-be31bba9004f" ] } ], "mendeley" : { "formattedCitation" : "[5]", "plainTextFormattedCitation" : "[5]", "previouslyFormattedCitation" : "[5]" }, "properties" : { "noteIndex" : 0 }, "schema" : "https://github.com/citation-style-language/schema/raw/master/csl-citation.json" }</w:instrText>
      </w:r>
      <w:r>
        <w:rPr>
          <w:rFonts w:cs="Arial"/>
          <w:lang w:val="en-US" w:eastAsia="en-ZA" w:bidi="en-US"/>
        </w:rPr>
        <w:fldChar w:fldCharType="separate"/>
      </w:r>
      <w:r>
        <w:rPr>
          <w:rFonts w:cs="Arial"/>
          <w:noProof/>
          <w:lang w:val="en-US" w:eastAsia="en-ZA" w:bidi="en-US"/>
        </w:rPr>
        <w:t>[5]</w:t>
      </w:r>
      <w:r>
        <w:rPr>
          <w:rFonts w:cs="Arial"/>
          <w:lang w:val="en-US" w:eastAsia="en-ZA" w:bidi="en-US"/>
        </w:rPr>
        <w:fldChar w:fldCharType="end"/>
      </w:r>
      <w:r>
        <w:rPr>
          <w:rFonts w:cs="Arial"/>
          <w:lang w:val="en-US" w:eastAsia="en-ZA" w:bidi="en-US"/>
        </w:rPr>
        <w:t>. Since its first inception, the P2G concept has evolved to include various alternative implementation pathways extended to renewable methane (substitute natural gas) production specifically to enable sustainable capture and utilization of carbon dioxide (CO</w:t>
      </w:r>
      <w:r>
        <w:rPr>
          <w:rFonts w:cs="Arial"/>
          <w:vertAlign w:val="subscript"/>
          <w:lang w:val="en-US" w:eastAsia="en-ZA" w:bidi="en-US"/>
        </w:rPr>
        <w:t>2</w:t>
      </w:r>
      <w:r>
        <w:rPr>
          <w:rFonts w:cs="Arial"/>
          <w:lang w:val="en-US" w:eastAsia="en-ZA" w:bidi="en-US"/>
        </w:rPr>
        <w:t xml:space="preserve">) </w:t>
      </w:r>
      <w:r>
        <w:rPr>
          <w:rFonts w:cs="Arial"/>
          <w:lang w:val="en-US" w:eastAsia="en-ZA" w:bidi="en-US"/>
        </w:rPr>
        <w:fldChar w:fldCharType="begin" w:fldLock="1"/>
      </w:r>
      <w:r>
        <w:rPr>
          <w:rFonts w:cs="Arial"/>
          <w:lang w:val="en-US" w:eastAsia="en-ZA" w:bidi="en-US"/>
        </w:rPr>
        <w:instrText>ADDIN CSL_CITATION { "citationItems" : [ { "id" : "ITEM-1", "itemData" : { "DOI" : "10.1016/j.rser.2015.01.049", "ISBN" : "13640321", "ISSN" : "13640321", "abstract" : "The large-scale deployment of renewable energy sources (RES) is an important aspect of decarbonising the energy supply, and represents a key part of the German Energiewende. However, significantly increasing the share of renewable power in the energy mix implies coping with the natural intermittency of RES like wind and solar. RES development also does not directly address non-electric energy needs such as fuels for transportation and industry feedstock, which are presently relying on fossil fuels. Therefore, the conversion of surplus renewable electricity (RES-E) into the more convenient form of a liquid or gas (power-to-liquid and power-to-gas) could help offset RES intermittency while providing a diverse mix of energy carriers. If recycled CO2 is used in the fuel synthesis process, overall emissions can be greatly reduced. This paper aims to sketch the possible contribution of RES-E combined with power-to-gas (PtG) and power-to-liquid (PtL) schemes in the 2050 German energy system, by modelling an increase in installed renewable power. Different scenarios are laid out and compared, and the results are utilised in a basic economic assessment of the fuel production cost for an hypothetical power-to-liquid plant.", "author" : [ { "dropping-particle" : "", "family" : "Varone", "given" : "Alberto", "non-dropping-particle" : "", "parse-names" : false, "suffix" : "" }, { "dropping-particle" : "", "family" : "Ferrari", "given" : "Michele", "non-dropping-particle" : "", "parse-names" : false, "suffix" : "" } ], "container-title" : "Renewable and Sustainable Energy Reviews", "id" : "ITEM-1", "issued" : { "date-parts" : [ [ "2015" ] ] }, "page" : "207-218", "title" : "Power to liquid and power to gas: An option for the German Energiewende", "type" : "article-journal", "volume" : "45" }, "uris" : [ "http://www.mendeley.com/documents/?uuid=173dd3a9-174d-4304-850d-390fc740e856" ] }, { "id" : "ITEM-2", "itemData" : { "DOI" : "10.1016/j.apenergy.2014.08.047", "ISBN" : "0306-2619", "ISSN" : "03062619", "abstract" : "One option to utilize excess electric energy is its conversion to hydrogen and the subsequent methanation. An alternative to the classical chemical Sabatier process is the biological methanation (methanogenesis) within biogas plants. In conventional biogas plants methane and carbon dioxide is produced. The latter can be directly converted to methane by feeding hydrogen into the reactor, since hydrogenotrophic bacteria are present.In the present contribution, a comprehensive simulation study with respect to stationary operating conditions and disturbances is presented. It reveals two qualitative different limitations, namely a biological limit (appr. at 4mH23/. mCO23 corresponds to 4.2mH2,STP3/. mliq3/d) as well as a transfer limit. A parameter region for a safe operation was defined. The temporary operation with stationary unfeasible conditions was analysed and thereby three qualitatively different disturbances can be distinguished. In one of these the operation for several days is possible. On the basis of these results, a controller was proposed and tested that meets the demands on the conversion of hydrogen and also prevents the washout of the microbial community due to hydrogen overload. ?? 2014 Elsevier Ltd.", "author" : [ { "dropping-particle" : "", "family" : "Bensmann", "given" : "A.", "non-dropping-particle" : "", "parse-names" : false, "suffix" : "" }, { "dropping-particle" : "", "family" : "Hanke-Rauschenbach", "given" : "R.", "non-dropping-particle" : "", "parse-names" : false, "suffix" : "" }, { "dropping-particle" : "", "family" : "Heyer", "given" : "R.", "non-dropping-particle" : "", "parse-names" : false, "suffix" : "" }, { "dropping-particle" : "", "family" : "Kohrs", "given" : "F.", "non-dropping-particle" : "", "parse-names" : false, "suffix" : "" }, { "dropping-particle" : "", "family" : "Benndorf", "given" : "D.", "non-dropping-particle" : "", "parse-names" : false, "suffix" : "" }, { "dropping-particle" : "", "family" : "Reichl", "given" : "U.", "non-dropping-particle" : "", "parse-names" : false, "suffix" : "" }, { "dropping-particle" : "", "family" : "Sundmacher", "given" : "K.", "non-dropping-particle" : "", "parse-names" : false, "suffix" : "" } ], "container-title" : "Applied Energy", "id" : "ITEM-2", "issued" : { "date-parts" : [ [ "2014" ] ] }, "page" : "413-425", "title" : "Biological methanation of hydrogen within biogas plants: A model-based feasibility study", "type" : "article-journal", "volume" : "134" }, "uris" : [ "http://www.mendeley.com/documents/?uuid=218ecabf-7d5f-41bf-8f10-8e7b9fdf3026" ] }, { "id" : "ITEM-3", "itemData" : { "DOI" : "10.1016/j.ijggc.2009.09.012", "ISBN" : "1750-5836", "ISSN" : "17505836", "abstract" : "A laboratory-scale reactor system was built and operated to demonstrate the feasibility of catalytically reacting carbon dioxide (CO2) with renewably-generated hydrogen (H2) to produce methane (CH4) according to the Sabatier reaction: CO2 + 4H2 ??? CH4 + 2H2O. A cylindrical reaction vessel packed with a commercial methanation catalyst (Haldor Tops??e PK-7R) was used. Renewable H2 produced by electrolysis of water (from solar- and wind-generated electricity) was fed into the reactor along with a custom blend of 2% CO2 in N2, meant to represent a synthetic exhaust mixture. Reaction conditions of temperature, flow rates, and gas mixing ratios were varied to determine optimum performance. The extent of reaction was monitored by real-time measurement of CO2 and CH4. Maximum conversion of CO2 occurred at 300-350 ??C. Approximately 60% conversion of CO2 was realized at a space velocity of about 10,000 h-1 with a molar ratio of H2/CO2 of 4/1. Somewhat higher total CO2 conversion was possible by increasing the H2/CO2 ratio, but the most efficient use of available H2 occurs at a lower H2/CO2 ratio. ?? 2009 Elsevier Ltd. All rights reserved.", "author" : [ { "dropping-particle" : "", "family" : "Hoekman", "given" : "S. Kent", "non-dropping-particle" : "", "parse-names" : false, "suffix" : "" }, { "dropping-particle" : "", "family" : "Broch", "given" : "Amber", "non-dropping-particle" : "", "parse-names" : false, "suffix" : "" }, { "dropping-particle" : "", "family" : "Robbins", "given" : "Curtis", "non-dropping-particle" : "", "parse-names" : false, "suffix" : "" }, { "dropping-particle" : "", "family" : "Purcell", "given" : "Richard", "non-dropping-particle" : "", "parse-names" : false, "suffix" : "" } ], "container-title" : "International Journal of Greenhouse Gas Control", "id" : "ITEM-3", "issue" : "1", "issued" : { "date-parts" : [ [ "2010" ] ] }, "page" : "44-50", "title" : "CO2 recycling by reaction with renewably-generated hydrogen", "type" : "article-journal", "volume" : "4" }, "uris" : [ "http://www.mendeley.com/documents/?uuid=2fc0a24c-3af2-49c8-8f3c-ebf1ebc0ffe8" ] }, { "id" : "ITEM-4", "itemData" : { "DOI" : "10.1016/j.cej.2013.12.045", "ISSN" : "13858947", "abstract" : "The Sabatier process may become a ubiquitous process for the production of renewable substitute natural gas from biomass or from any CO2 source coupled with renewable hydrogen. While a conventional Sabatier process typically requires cascade reactors and high operational pressure, i.e. 40-60bars at least, to yield an SNG product matching the specification for injection in the natural gas infrastructure, the sorption enhanced Sabatier reaction has the potential of producing high grade methane product at operational pressures below 10 bar. The energy duty for compression work may then decrease from 10% to 6% of the total process energy balance, in the case where reactants are supplied at atmospheric pressure. The sorption enhanced methanation was demonstrated at atmospheric pressure with commercial Nickel based catalyst and zeolite 4A adsorbent between 250 and 350\u00b0C reaching close to 100% conversion. \u00a9 2014 Elsevier B.V.", "author" : [ { "dropping-particle" : "", "family" : "Walspurger", "given" : "St\u00e9phane", "non-dropping-particle" : "", "parse-names" : false, "suffix" : "" }, { "dropping-particle" : "", "family" : "Elzinga", "given" : "Gerard D.", "non-dropping-particle" : "", "parse-names" : false, "suffix" : "" }, { "dropping-particle" : "", "family" : "Dijkstra", "given" : "Jan Wilco", "non-dropping-particle" : "", "parse-names" : false, "suffix" : "" }, { "dropping-particle" : "", "family" : "Sari\u0107", "given" : "Marija", "non-dropping-particle" : "", "parse-names" : false, "suffix" : "" }, { "dropping-particle" : "", "family" : "Haije", "given" : "Wim G.", "non-dropping-particle" : "", "parse-names" : false, "suffix" : "" } ], "container-title" : "Chemical Engineering Journal", "id" : "ITEM-4", "issued" : { "date-parts" : [ [ "2014" ] ] }, "page" : "379-386", "title" : "Sorption enhanced methanation for substitute natural gas production: Experimental results and thermodynamic considerations", "type" : "article-journal", "volume" : "242" }, "uris" : [ "http://www.mendeley.com/documents/?uuid=f0045256-5b31-487d-bf66-095dcf881a0b" ] } ], "mendeley" : { "formattedCitation" : "[1,6\u20138]", "plainTextFormattedCitation" : "[1,6\u20138]", "previouslyFormattedCitation" : "[1,6\u20138]" }, "properties" : { "noteIndex" : 0 }, "schema" : "https://github.com/citation-style-language/schema/raw/master/csl-citation.json" }</w:instrText>
      </w:r>
      <w:r>
        <w:rPr>
          <w:rFonts w:cs="Arial"/>
          <w:lang w:val="en-US" w:eastAsia="en-ZA" w:bidi="en-US"/>
        </w:rPr>
        <w:fldChar w:fldCharType="separate"/>
      </w:r>
      <w:r>
        <w:rPr>
          <w:rFonts w:cs="Arial"/>
          <w:noProof/>
          <w:lang w:val="en-US" w:eastAsia="en-ZA" w:bidi="en-US"/>
        </w:rPr>
        <w:t>[1,6–8]</w:t>
      </w:r>
      <w:r>
        <w:rPr>
          <w:rFonts w:cs="Arial"/>
          <w:lang w:val="en-US" w:eastAsia="en-ZA" w:bidi="en-US"/>
        </w:rPr>
        <w:fldChar w:fldCharType="end"/>
      </w:r>
      <w:r>
        <w:rPr>
          <w:rFonts w:cs="Arial"/>
          <w:lang w:val="en-US" w:eastAsia="en-ZA" w:bidi="en-US"/>
        </w:rPr>
        <w:t xml:space="preserve">. Carbon dioxide is widely recognized as a major greenhouse gas causing global warming. </w:t>
      </w:r>
    </w:p>
    <w:p>
      <w:pPr>
        <w:spacing w:line="480" w:lineRule="auto"/>
        <w:ind w:firstLine="720"/>
        <w:rPr>
          <w:rFonts w:cs="Arial"/>
          <w:lang w:val="en-US" w:eastAsia="en-ZA" w:bidi="en-US"/>
        </w:rPr>
      </w:pPr>
      <w:r>
        <w:rPr>
          <w:rFonts w:cs="Arial"/>
          <w:lang w:val="en-US" w:eastAsia="en-ZA" w:bidi="en-US"/>
        </w:rPr>
        <w:t>Renewable methane production achieved via methanation of CO</w:t>
      </w:r>
      <w:r>
        <w:rPr>
          <w:rFonts w:cs="Arial"/>
          <w:vertAlign w:val="subscript"/>
          <w:lang w:val="en-US" w:eastAsia="en-ZA" w:bidi="en-US"/>
        </w:rPr>
        <w:t>2</w:t>
      </w:r>
      <w:r>
        <w:rPr>
          <w:rFonts w:cs="Arial"/>
          <w:lang w:val="en-US" w:eastAsia="en-ZA" w:bidi="en-US"/>
        </w:rPr>
        <w:t xml:space="preserve"> in the Sabatier process (Eq. 1) is a particularly viable option for P2G implementation owing to an already existing natural gas infrastructure as well as the wide variety of applications (e.g. domestic heating and power generation) in different sectors such as the chemical industry, the mobility sector and the gas sector </w:t>
      </w:r>
      <w:r>
        <w:rPr>
          <w:rFonts w:cs="Arial"/>
          <w:lang w:val="en-US" w:eastAsia="en-ZA" w:bidi="en-US"/>
        </w:rPr>
        <w:fldChar w:fldCharType="begin" w:fldLock="1"/>
      </w:r>
      <w:r>
        <w:rPr>
          <w:rFonts w:cs="Arial"/>
          <w:lang w:val="en-US" w:eastAsia="en-ZA" w:bidi="en-US"/>
        </w:rPr>
        <w:instrText>ADDIN CSL_CITATION { "citationItems" : [ { "id" : "ITEM-1", "itemData" : { "DOI" : "10.1016/j.cej.2013.12.045", "ISSN" : "13858947", "abstract" : "The Sabatier process may become a ubiquitous process for the production of renewable substitute natural gas from biomass or from any CO2 source coupled with renewable hydrogen. While a conventional Sabatier process typically requires cascade reactors and high operational pressure, i.e. 40-60bars at least, to yield an SNG product matching the specification for injection in the natural gas infrastructure, the sorption enhanced Sabatier reaction has the potential of producing high grade methane product at operational pressures below 10 bar. The energy duty for compression work may then decrease from 10% to 6% of the total process energy balance, in the case where reactants are supplied at atmospheric pressure. The sorption enhanced methanation was demonstrated at atmospheric pressure with commercial Nickel based catalyst and zeolite 4A adsorbent between 250 and 350\u00b0C reaching close to 100% conversion. \u00a9 2014 Elsevier B.V.", "author" : [ { "dropping-particle" : "", "family" : "Walspurger", "given" : "St\u00e9phane", "non-dropping-particle" : "", "parse-names" : false, "suffix" : "" }, { "dropping-particle" : "", "family" : "Elzinga", "given" : "Gerard D.", "non-dropping-particle" : "", "parse-names" : false, "suffix" : "" }, { "dropping-particle" : "", "family" : "Dijkstra", "given" : "Jan Wilco", "non-dropping-particle" : "", "parse-names" : false, "suffix" : "" }, { "dropping-particle" : "", "family" : "Sari\u0107", "given" : "Marija", "non-dropping-particle" : "", "parse-names" : false, "suffix" : "" }, { "dropping-particle" : "", "family" : "Haije", "given" : "Wim G.", "non-dropping-particle" : "", "parse-names" : false, "suffix" : "" } ], "container-title" : "Chemical Engineering Journal", "id" : "ITEM-1", "issued" : { "date-parts" : [ [ "2014" ] ] }, "page" : "379-386", "title" : "Sorption enhanced methanation for substitute natural gas production: Experimental results and thermodynamic considerations", "type" : "article-journal", "volume" : "242" }, "uris" : [ "http://www.mendeley.com/documents/?uuid=f0045256-5b31-487d-bf66-095dcf881a0b" ] }, { "id" : "ITEM-2", "itemData" : { "DOI" : "10.1016/j.rser.2014.08.008", "ISBN" : "1364-0321", "ISSN" : "13640321", "abstract" : "The discovery of abundant natural gas resources has greatly increased the study of using methane as a feedstock to produce transportation fuels. Biogas (primarily containing methane and CO2), which is generated from waste biomass via anaerobic digestion or landfills, is regarded as a renewable source of methane, and has the potential to achieve sustainable production of transportation fuels. Since biogas also contains a significant amount of impurities (e.g., H2S, NH3, and siloxane), a cleaning procedure is generally required prior to conversion to transportation fuels. Physical approaches, mainly compression and liquefaction, have been commercially applied to upgrade biogas to bio-compressed natural gas (CNG) and liquefied biogas (LBG). For chemical approaches, catalytic reforming is the dominant method for converting methane to syngas, followed by Fischer-Tropsch synthesis (FTS) or fermentation of syngas to a variety of alcohols (e.g., methanol, ethanol, and butanol) and liquid hydrocarbon fuels (e.g., gasoline, diesel, and jet fuels). High purity hydrogen, a clean fuel, can also be produced via reforming. Methanol can be produced by direct oxidation of methane, while interest in the biological conversion of methane to methanol has grown recently due to its mild operating conditions, high conversion efficiency, and potential for using raw biogas. The derived methanol can be further converted to gasoline via a methanol to gasoline (MTG) process. This paper provides a comprehensive review of major research progress on technologies for converting biogas/methane into transportation fuels, and discusses the principles, kinetics, operating conditions, and performance of each technology. Efficient direct conversion of biogas into ethanol and higher alcohol fuels (e.g. butanol), which is envisaged to be the focus of research pursuits in the near future, is also discussed, with emphasis on the development of methane-utilizing microbes through genetic engineering.", "author" : [ { "dropping-particle" : "", "family" : "Yang", "given" : "Liangcheng", "non-dropping-particle" : "", "parse-names" : false, "suffix" : "" }, { "dropping-particle" : "", "family" : "Ge", "given" : "Xumeng", "non-dropping-particle" : "", "parse-names" : false, "suffix" : "" }, { "dropping-particle" : "", "family" : "Wan", "given" : "Caixia", "non-dropping-particle" : "", "parse-names" : false, "suffix" : "" }, { "dropping-particle" : "", "family" : "Yu", "given" : "Fei", "non-dropping-particle" : "", "parse-names" : false, "suffix" : "" }, { "dropping-particle" : "", "family" : "Li", "given" : "Yebo", "non-dropping-particle" : "", "parse-names" : false, "suffix" : "" } ], "container-title" : "Renewable and Sustainable Energy Reviews", "id" : "ITEM-2", "issued" : { "date-parts" : [ [ "2014" ] ] }, "page" : "1133-1152", "title" : "Progress and perspectives in converting biogas to transportation fuels", "type" : "article", "volume" : "40" }, "uris" : [ "http://www.mendeley.com/documents/?uuid=cba116ca-9ca3-46a4-9eb6-665e5806b7d6" ] }, { "id" : "ITEM-3", "itemData" : { "DOI" : "10.1016/j.enconman.2015.01.038", "ISSN" : "01968904", "abstract" : "The increasing share of intermittent renewable electricity production leads to operational challenges in the electric power sector. Storage will be needed, among other options, to ensure an efficient and reliable operation of the electric power system. The power to gas (PtG) concept provides a possibility to store excess renewable electric power and as such it can increase the utilisation of RES-based electricity generation. The renewable methane, produced via PtG, can be stored in the gas system and used e.g. for electricity generation. The gas system has a much larger storage capacity compared to current electricity storage technologies. However, PtG introduces extra couplings between the gas, electricity and carbon (CO2) sector and it is not known what the effect of these new interactions could be. Therefore, an operational model has been developed that includes the gas, electricity and CO2 sector to analyse the effects of PtG on these sectors and on the interactions between them. Based on a case study, it is found that PtG partially transfers capacity and flexibility problems, triggered by the introduction of intermittent RES-based electricity generation, from the electricity to the gas sector. Moreover, a downward pressure on the gas prices is observed. However, the effects of PtG are generally smaller than those of the large-scale introduction of intermittent renewable electricity generation. Also, complex inter-sector dependencies are introduced through the CO2 that is required in the PtG process. If PtG is to be deployed at large scale, the study of these effects is relevant for policy makers, regulators, energy markets' participants and system operators.", "author" : [ { "dropping-particle" : "", "family" : "Vandewalle", "given" : "J.", "non-dropping-particle" : "", "parse-names" : false, "suffix" : "" }, { "dropping-particle" : "", "family" : "Bruninx", "given" : "K.", "non-dropping-particle" : "", "parse-names" : false, "suffix" : "" }, { "dropping-particle" : "", "family" : "D'Haeseleer", "given" : "W.", "non-dropping-particle" : "", "parse-names" : false, "suffix" : "" } ], "container-title" : "Energy Conversion and Management", "id" : "ITEM-3", "issued" : { "date-parts" : [ [ "2015" ] ] }, "page" : "28-39", "title" : "Effects of large-scale power to gas conversion on the power, gas and carbon sectors and their interactions", "type" : "article-journal", "volume" : "94" }, "uris" : [ "http://www.mendeley.com/documents/?uuid=34fdd73e-9c62-478d-8a56-98b580159ab6" ] } ], "mendeley" : { "formattedCitation" : "[8\u201310]", "plainTextFormattedCitation" : "[8\u201310]", "previouslyFormattedCitation" : "[8\u201310]" }, "properties" : { "noteIndex" : 0 }, "schema" : "https://github.com/citation-style-language/schema/raw/master/csl-citation.json" }</w:instrText>
      </w:r>
      <w:r>
        <w:rPr>
          <w:rFonts w:cs="Arial"/>
          <w:lang w:val="en-US" w:eastAsia="en-ZA" w:bidi="en-US"/>
        </w:rPr>
        <w:fldChar w:fldCharType="separate"/>
      </w:r>
      <w:r>
        <w:rPr>
          <w:rFonts w:cs="Arial"/>
          <w:noProof/>
          <w:lang w:val="en-US" w:eastAsia="en-ZA" w:bidi="en-US"/>
        </w:rPr>
        <w:t>[8–10]</w:t>
      </w:r>
      <w:r>
        <w:rPr>
          <w:rFonts w:cs="Arial"/>
          <w:lang w:val="en-US" w:eastAsia="en-ZA" w:bidi="en-US"/>
        </w:rPr>
        <w:fldChar w:fldCharType="end"/>
      </w:r>
      <w:r>
        <w:rPr>
          <w:rFonts w:cs="Arial"/>
          <w:lang w:val="en-US" w:eastAsia="en-ZA" w:bidi="en-US"/>
        </w:rPr>
        <w:t>. In the Sabatier reaction, H</w:t>
      </w:r>
      <w:r>
        <w:rPr>
          <w:rFonts w:cs="Arial"/>
          <w:vertAlign w:val="subscript"/>
          <w:lang w:val="en-US" w:eastAsia="en-ZA" w:bidi="en-US"/>
        </w:rPr>
        <w:t>2</w:t>
      </w:r>
      <w:r>
        <w:rPr>
          <w:rFonts w:cs="Arial"/>
          <w:lang w:val="en-US" w:eastAsia="en-ZA" w:bidi="en-US"/>
        </w:rPr>
        <w:t xml:space="preserve"> is combined with CO</w:t>
      </w:r>
      <w:r>
        <w:rPr>
          <w:rFonts w:cs="Arial"/>
          <w:vertAlign w:val="subscript"/>
          <w:lang w:val="en-US" w:eastAsia="en-ZA" w:bidi="en-US"/>
        </w:rPr>
        <w:t>2</w:t>
      </w:r>
      <w:r>
        <w:rPr>
          <w:rFonts w:cs="Arial"/>
          <w:lang w:val="en-US" w:eastAsia="en-ZA" w:bidi="en-US"/>
        </w:rPr>
        <w:t xml:space="preserve"> over a suitable catalyst to form methane (CH</w:t>
      </w:r>
      <w:r>
        <w:rPr>
          <w:rFonts w:cs="Arial"/>
          <w:vertAlign w:val="subscript"/>
          <w:lang w:val="en-US" w:eastAsia="en-ZA" w:bidi="en-US"/>
        </w:rPr>
        <w:t>4</w:t>
      </w:r>
      <w:r>
        <w:rPr>
          <w:rFonts w:cs="Arial"/>
          <w:lang w:val="en-US" w:eastAsia="en-ZA" w:bidi="en-US"/>
        </w:rPr>
        <w:t>). In this way, the P2G process has the ability to utilize CO</w:t>
      </w:r>
      <w:r>
        <w:rPr>
          <w:rFonts w:cs="Arial"/>
          <w:vertAlign w:val="subscript"/>
          <w:lang w:val="en-US" w:eastAsia="en-ZA" w:bidi="en-US"/>
        </w:rPr>
        <w:t>2</w:t>
      </w:r>
      <w:r>
        <w:rPr>
          <w:rFonts w:cs="Arial"/>
          <w:lang w:val="en-US" w:eastAsia="en-ZA" w:bidi="en-US"/>
        </w:rPr>
        <w:t xml:space="preserve"> which otherwise would have been vented into the atmosphere. The CO</w:t>
      </w:r>
      <w:r>
        <w:rPr>
          <w:rFonts w:cs="Arial"/>
          <w:vertAlign w:val="subscript"/>
          <w:lang w:val="en-US" w:eastAsia="en-ZA" w:bidi="en-US"/>
        </w:rPr>
        <w:t>2</w:t>
      </w:r>
      <w:r>
        <w:rPr>
          <w:rFonts w:cs="Arial"/>
          <w:lang w:val="en-US" w:eastAsia="en-ZA" w:bidi="en-US"/>
        </w:rPr>
        <w:t xml:space="preserve"> feedstock for the Sabatier process can be an industrial point source (for example; biogas plant, fossil-fuel fired power plant or cement manufacturing process </w:t>
      </w:r>
      <w:r>
        <w:rPr>
          <w:rFonts w:cs="Arial"/>
          <w:lang w:val="en-US" w:eastAsia="en-ZA" w:bidi="en-US"/>
        </w:rPr>
        <w:fldChar w:fldCharType="begin" w:fldLock="1"/>
      </w:r>
      <w:r>
        <w:rPr>
          <w:rFonts w:cs="Arial"/>
          <w:lang w:val="en-US" w:eastAsia="en-ZA" w:bidi="en-US"/>
        </w:rPr>
        <w:instrText>ADDIN CSL_CITATION { "citationItems" : [ { "id" : "ITEM-1", "itemData" : { "DOI" : "10.1016/j.apenergy.2014.08.047", "ISBN" : "0306-2619", "ISSN" : "03062619", "abstract" : "One option to utilize excess electric energy is its conversion to hydrogen and the subsequent methanation. An alternative to the classical chemical Sabatier process is the biological methanation (methanogenesis) within biogas plants. In conventional biogas plants methane and carbon dioxide is produced. The latter can be directly converted to methane by feeding hydrogen into the reactor, since hydrogenotrophic bacteria are present.In the present contribution, a comprehensive simulation study with respect to stationary operating conditions and disturbances is presented. It reveals two qualitative different limitations, namely a biological limit (appr. at 4mH23/. mCO23 corresponds to 4.2mH2,STP3/. mliq3/d) as well as a transfer limit. A parameter region for a safe operation was defined. The temporary operation with stationary unfeasible conditions was analysed and thereby three qualitatively different disturbances can be distinguished. In one of these the operation for several days is possible. On the basis of these results, a controller was proposed and tested that meets the demands on the conversion of hydrogen and also prevents the washout of the microbial community due to hydrogen overload. ?? 2014 Elsevier Ltd.", "author" : [ { "dropping-particle" : "", "family" : "Bensmann", "given" : "A.", "non-dropping-particle" : "", "parse-names" : false, "suffix" : "" }, { "dropping-particle" : "", "family" : "Hanke-Rauschenbach", "given" : "R.", "non-dropping-particle" : "", "parse-names" : false, "suffix" : "" }, { "dropping-particle" : "", "family" : "Heyer", "given" : "R.", "non-dropping-particle" : "", "parse-names" : false, "suffix" : "" }, { "dropping-particle" : "", "family" : "Kohrs", "given" : "F.", "non-dropping-particle" : "", "parse-names" : false, "suffix" : "" }, { "dropping-particle" : "", "family" : "Benndorf", "given" : "D.", "non-dropping-particle" : "", "parse-names" : false, "suffix" : "" }, { "dropping-particle" : "", "family" : "Reichl", "given" : "U.", "non-dropping-particle" : "", "parse-names" : false, "suffix" : "" }, { "dropping-particle" : "", "family" : "Sundmacher", "given" : "K.", "non-dropping-particle" : "", "parse-names" : false, "suffix" : "" } ], "container-title" : "Applied Energy", "id" : "ITEM-1", "issued" : { "date-parts" : [ [ "2014" ] ] }, "page" : "413-425", "title" : "Biological methanation of hydrogen within biogas plants: A model-based feasibility study", "type" : "article-journal", "volume" : "134" }, "uris" : [ "http://www.mendeley.com/documents/?uuid=218ecabf-7d5f-41bf-8f10-8e7b9fdf3026" ] }, { "id" : "ITEM-2", "itemData" : { "DOI" : "10.1016/j.enconman.2015.01.038", "ISSN" : "01968904", "abstract" : "The increasing share of intermittent renewable electricity production leads to operational challenges in the electric power sector. Storage will be needed, among other options, to ensure an efficient and reliable operation of the electric power system. The power to gas (PtG) concept provides a possibility to store excess renewable electric power and as such it can increase the utilisation of RES-based electricity generation. The renewable methane, produced via PtG, can be stored in the gas system and used e.g. for electricity generation. The gas system has a much larger storage capacity compared to current electricity storage technologies. However, PtG introduces extra couplings between the gas, electricity and carbon (CO2) sector and it is not known what the effect of these new interactions could be. Therefore, an operational model has been developed that includes the gas, electricity and CO2 sector to analyse the effects of PtG on these sectors and on the interactions between them. Based on a case study, it is found that PtG partially transfers capacity and flexibility problems, triggered by the introduction of intermittent RES-based electricity generation, from the electricity to the gas sector. Moreover, a downward pressure on the gas prices is observed. However, the effects of PtG are generally smaller than those of the large-scale introduction of intermittent renewable electricity generation. Also, complex inter-sector dependencies are introduced through the CO2 that is required in the PtG process. If PtG is to be deployed at large scale, the study of these effects is relevant for policy makers, regulators, energy markets' participants and system operators.", "author" : [ { "dropping-particle" : "", "family" : "Vandewalle", "given" : "J.", "non-dropping-particle" : "", "parse-names" : false, "suffix" : "" }, { "dropping-particle" : "", "family" : "Bruninx", "given" : "K.", "non-dropping-particle" : "", "parse-names" : false, "suffix" : "" }, { "dropping-particle" : "", "family" : "D'Haeseleer", "given" : "W.", "non-dropping-particle" : "", "parse-names" : false, "suffix" : "" } ], "container-title" : "Energy Conversion and Management", "id" : "ITEM-2", "issued" : { "date-parts" : [ [ "2015" ] ] }, "page" : "28-39", "title" : "Effects of large-scale power to gas conversion on the power, gas and carbon sectors and their interactions", "type" : "article-journal", "volume" : "94" }, "uris" : [ "http://www.mendeley.com/documents/?uuid=34fdd73e-9c62-478d-8a56-98b580159ab6" ] }, { "id" : "ITEM-3", "itemData" : { "author" : [ { "dropping-particle" : "", "family" : "Rossi", "given" : "F.", "non-dropping-particle" : "", "parse-names" : false, "suffix" : "" }, { "dropping-particle" : "", "family" : "Castellani", "given" : "B.", "non-dropping-particle" : "", "parse-names" : false, "suffix" : "" }, { "dropping-particle" : "", "family" : "Morini", "given" : "E.", "non-dropping-particle" : "", "parse-names" : false, "suffix" : "" }, { "dropping-particle" : "Di", "family" : "Giovanna", "given" : "L.", "non-dropping-particle" : "", "parse-names" : false, "suffix" : "" }, { "dropping-particle" : "", "family" : "Corsi", "given" : "N.", "non-dropping-particle" : "", "parse-names" : false, "suffix" : "" }, { "dropping-particle" : "", "family" : "Giuliobello", "given" : "M.", "non-dropping-particle" : "", "parse-names" : false, "suffix" : "" }, { "dropping-particle" : "", "family" : "Nicolini", "given" : "A.", "non-dropping-particle" : "", "parse-names" : false, "suffix" : "" } ], "container-title" : "Third Southern African Solar Energy Conference", "id" : "ITEM-3", "issued" : { "date-parts" : [ [ "2014" ] ] }, "page" : "341-346", "publisher-place" : "Kruger National Park, South Africa", "title" : "Experimental apparatus for solar energy storage via methane production", "type" : "paper-conference" }, "uris" : [ "http://www.mendeley.com/documents/?uuid=dcf006b3-89e8-406e-9659-1809e1d08e41" ] } ], "mendeley" : { "formattedCitation" : "[6,10,11]", "plainTextFormattedCitation" : "[6,10,11]", "previouslyFormattedCitation" : "[6,10,11]" }, "properties" : { "noteIndex" : 0 }, "schema" : "https://github.com/citation-style-language/schema/raw/master/csl-citation.json" }</w:instrText>
      </w:r>
      <w:r>
        <w:rPr>
          <w:rFonts w:cs="Arial"/>
          <w:lang w:val="en-US" w:eastAsia="en-ZA" w:bidi="en-US"/>
        </w:rPr>
        <w:fldChar w:fldCharType="separate"/>
      </w:r>
      <w:r>
        <w:rPr>
          <w:rFonts w:cs="Arial"/>
          <w:noProof/>
          <w:lang w:val="en-US" w:eastAsia="en-ZA" w:bidi="en-US"/>
        </w:rPr>
        <w:t>[6,10,11]</w:t>
      </w:r>
      <w:r>
        <w:rPr>
          <w:rFonts w:cs="Arial"/>
          <w:lang w:val="en-US" w:eastAsia="en-ZA" w:bidi="en-US"/>
        </w:rPr>
        <w:fldChar w:fldCharType="end"/>
      </w:r>
      <w:r>
        <w:rPr>
          <w:rFonts w:cs="Arial"/>
          <w:lang w:val="en-US" w:eastAsia="en-ZA" w:bidi="en-US"/>
        </w:rPr>
        <w:t xml:space="preserve">). The Sabatier reaction has been studied extensively on various metal catalysts such as Ni </w:t>
      </w:r>
      <w:r>
        <w:rPr>
          <w:rFonts w:cs="Arial"/>
          <w:lang w:val="en-US" w:eastAsia="en-ZA" w:bidi="en-US"/>
        </w:rPr>
        <w:fldChar w:fldCharType="begin" w:fldLock="1"/>
      </w:r>
      <w:r>
        <w:rPr>
          <w:rFonts w:cs="Arial"/>
          <w:lang w:val="en-US" w:eastAsia="en-ZA" w:bidi="en-US"/>
        </w:rPr>
        <w:instrText>ADDIN CSL_CITATION { "citationItems" : [ { "id" : "ITEM-1", "itemData" : { "DOI" : "10.1186/s13705-014-0029-1", "ISSN" : "2192-0567", "abstract" : "This article presents some crucial findings of the joint research project entitled \u00abStorage of electric energy from renewable sources in the natural gas grid-water electrolysis and synthesis of gas components\u00bb. The project was funded by BMBF and aimed at developing viable concepts for the storage of excess electrical energy from wind and solar power plants. The concept presented in this article suggests the conversion of CO 2 -containing gases into methane in a pressurized reactor using hydrogen produced via electrolysis. The produced gas can be upgraded to synthetic natural gas (SNG) and fed into the well-developed German natural gas grid. This concept benefits from the high storage capacity of the German gas grid and does not require any extensions of the current gas or power grid. The reaction heat released by the exothermic methanation reaction leads to a temperature rise of the gas in the fixed bed catalyst of the reactor. The conversion of carbon dioxide is limited in accordance to the chemical equilibrium which depends strongly on temperature and pressure. For maximum carbon dioxide conversion, it is convenient to split the methanation into several stages adding cooling sections in between. This article focuses on the methanation process and its transfer onto an industrial scale evaluating the different plant capacities and feedstock mixtures used. The methanation takes place in a staged fixed bed reactor. This staged reactor concept is an in-house development based on know-how from the sulfuric acid production technology.", "author" : [ { "dropping-particle" : "", "family" : "Schaaf", "given" : "Tanja", "non-dropping-particle" : "", "parse-names" : false, "suffix" : "" }, { "dropping-particle" : "", "family" : "Gr\u00fcnig", "given" : "Jochen", "non-dropping-particle" : "", "parse-names" : false, "suffix" : "" }, { "dropping-particle" : "", "family" : "Schuster", "given" : "Markus Roman", "non-dropping-particle" : "", "parse-names" : false, "suffix" : "" }, { "dropping-particle" : "", "family" : "Rothenfluh", "given" : "Tobias", "non-dropping-particle" : "", "parse-names" : false, "suffix" : "" }, { "dropping-particle" : "", "family" : "Orth", "given" : "Andreas", "non-dropping-particle" : "", "parse-names" : false, "suffix" : "" } ], "container-title" : "Energy, Sustainability and Society", "id" : "ITEM-1", "issue" : "1", "issued" : { "date-parts" : [ [ "2014" ] ] }, "page" : "1-14", "title" : "Methanation of CO2 - storage of renewable energy in a gas distribution system", "type" : "article-journal", "volume" : "4" }, "uris" : [ "http://www.mendeley.com/documents/?uuid=6d9e6459-c7c8-4ef6-b936-5cd254a18724" ] }, { "id" : "ITEM-2", "itemData" : { "DOI" : "10.1016/j.ijggc.2009.09.012", "ISBN" : "1750-5836", "ISSN" : "17505836", "abstract" : "A laboratory-scale reactor system was built and operated to demonstrate the feasibility of catalytically reacting carbon dioxide (CO2) with renewably-generated hydrogen (H2) to produce methane (CH4) according to the Sabatier reaction: CO2 + 4H2 ??? CH4 + 2H2O. A cylindrical reaction vessel packed with a commercial methanation catalyst (Haldor Tops??e PK-7R) was used. Renewable H2 produced by electrolysis of water (from solar- and wind-generated electricity) was fed into the reactor along with a custom blend of 2% CO2 in N2, meant to represent a synthetic exhaust mixture. Reaction conditions of temperature, flow rates, and gas mixing ratios were varied to determine optimum performance. The extent of reaction was monitored by real-time measurement of CO2 and CH4. Maximum conversion of CO2 occurred at 300-350 ??C. Approximately 60% conversion of CO2 was realized at a space velocity of about 10,000 h-1 with a molar ratio of H2/CO2 of 4/1. Somewhat higher total CO2 conversion was possible by increasing the H2/CO2 ratio, but the most efficient use of available H2 occurs at a lower H2/CO2 ratio. ?? 2009 Elsevier Ltd. All rights reserved.", "author" : [ { "dropping-particle" : "", "family" : "Hoekman", "given" : "S. Kent", "non-dropping-particle" : "", "parse-names" : false, "suffix" : "" }, { "dropping-particle" : "", "family" : "Broch", "given" : "Amber", "non-dropping-particle" : "", "parse-names" : false, "suffix" : "" }, { "dropping-particle" : "", "family" : "Robbins", "given" : "Curtis", "non-dropping-particle" : "", "parse-names" : false, "suffix" : "" }, { "dropping-particle" : "", "family" : "Purcell", "given" : "Richard", "non-dropping-particle" : "", "parse-names" : false, "suffix" : "" } ], "container-title" : "International Journal of Greenhouse Gas Control", "id" : "ITEM-2", "issue" : "1", "issued" : { "date-parts" : [ [ "2010" ] ] }, "page" : "44-50", "title" : "CO2 recycling by reaction with renewably-generated hydrogen", "type" : "article-journal", "volume" : "4" }, "uris" : [ "http://www.mendeley.com/documents/?uuid=2fc0a24c-3af2-49c8-8f3c-ebf1ebc0ffe8" ] }, { "id" : "ITEM-3", "itemData" : { "DOI" : "10.1016/j.scient.2012.02.004", "ISBN" : "6013746621", "ISSN" : "10263098", "abstract" : "The presence of carbon dioxide and water molecules as impurities in crude natural gas decreases the quality of natural gas. Recently, the catalytic treatment of this toxic and acidic gas has become a promising technique by converting CO 2 to methane gas in the presence of H 2S gas; thus, enhancing methane production and creating an environmentally friendly approach to the purification of natural gas. A series of catalysts based on nickel oxide were prepared using the wetness impregnation technique and aging, followed by calcination at 400 ??C. Pd/Ru/Ni(2:8:90)/ Al 2O 3 catalyst was revealed as the most potential catalyst, and achieved 43.60% of CO 2 conversion, with 6.82% of methane formation at 200??C. This catalyst had the highest percentage of 52.95% CO 2 conversion and yielded 39.73% methane at a maximum temperature of 400??C. In the presence of H 2S in the gas stream, the conversion dropped to 35.03%, with 3.64% yield of methane at a reaction temperature of 400??C. However, this catalyst achieved 100% H 2S desulfurization at 140??C and remained constant until the reaction temperature of 300??C. Moreover, the XRD diffractogram showed that the catalyst is highly amorphous in structure, with a BET surface area in the range of 220-270 m 2 g - 1. FESEM analysis indicated a rough surface morphology and non-homogeneous spherical shape, with the smallest particles size in the range 40-115 nm. ?? 2012 Sharif University of Technology. Production and hosting by Elsevier B.V. All rights reserved.", "author" : [ { "dropping-particle" : "", "family" : "Abu Bakar", "given" : "W. A W", "non-dropping-particle" : "", "parse-names" : false, "suffix" : "" }, { "dropping-particle" : "", "family" : "Ali", "given" : "R.", "non-dropping-particle" : "", "parse-names" : false, "suffix" : "" }, { "dropping-particle" : "", "family" : "Toemen", "given" : "S.", "non-dropping-particle" : "", "parse-names" : false, "suffix" : "" } ], "container-title" : "Scientia Iranica", "id" : "ITEM-3", "issue" : "3", "issued" : { "date-parts" : [ [ "2012" ] ] }, "page" : "525-534", "title" : "Catalytic methanation reaction over supported nickel-ruthenium oxide base for purification of simulated natural gas", "type" : "article-journal", "volume" : "19" }, "uris" : [ "http://www.mendeley.com/documents/?uuid=d544928d-c1da-4c74-ade1-423c479d4f8c" ] }, { "id" : "ITEM-4", "itemData" : { "DOI" : "10.1016/j.ijhydene.2014.05.111", "ISSN" : "03603199", "abstract" : "The hydrogenation of carbon dioxide producing methane and CO has been investigated over Ni/Al2O3 catalysts. The as prepared catalysts have been characterized by XRD and Temperature Programmed Reduction. Spent catalysts have been characterized by XRD and Field Emission SEM. Catalytic activity needs the presence of Ni metal particles which may form in situ if the Ni loading is higher than that needed to cover the alumina surface with a complete monolayer. If Ni content is lower, pre-reduction is needed. Catalysts containing very small Ni particles obtained by reducing moderate loading materials are very selective to methane without CO formation. The larger the Ni particles, due to higher Ni loadings, the higher the CO production. Cubic Ni metal particles are found in the spent catalysts mostly without carbon whiskers. The data suggest that fast methanation occurs at the expense of CO intermediate on the corners of nanoparticles interacting with alumina, likely with a \u201cvia oxygenate\u201d mechanism.", "author" : [ { "dropping-particle" : "", "family" : "Garbarino", "given" : "Gabriella", "non-dropping-particle" : "", "parse-names" : false, "suffix" : "" }, { "dropping-particle" : "", "family" : "Riani", "given" : "Paola", "non-dropping-particle" : "", "parse-names" : false, "suffix" : "" }, { "dropping-particle" : "", "family" : "Magistri", "given" : "Loredana", "non-dropping-particle" : "", "parse-names" : false, "suffix" : "" }, { "dropping-particle" : "", "family" : "Busca", "given" : "Guido", "non-dropping-particle" : "", "parse-names" : false, "suffix" : "" } ], "container-title" : "International Journal of Hydrogen Energy", "id" : "ITEM-4", "issue" : "22", "issued" : { "date-parts" : [ [ "2014" ] ] }, "page" : "11557-11565", "title" : "A study of the methanation of carbon dioxide on Ni/Al2O3 catalysts at atmospheric pressure", "type" : "article-journal", "volume" : "39" }, "uris" : [ "http://www.mendeley.com/documents/?uuid=ade7afe2-3e1e-405e-962a-62bd390dfd6b" ] }, { "id" : "ITEM-5", "itemData" : { "DOI" : "10.1016/j.jiec.2015.09.019", "ISSN" : "22345957", "abstract" : "Nickel and iron supported on Al2O3, ZrO2, TiO2 and SiO2 containing Ni and Fe in the ratio of 3:1 showed a higher CH4 yield compared to the supported Ni catalysts. The Nb2O5 supported catalyst was an exception. The relative enhancement in yield for the most active catalyst of each series was support dependent, and the maximum enhancement was achieved when Al2O3 was the support. It appeared that the enhancements in yield was due to formation of a suitable Ni-Fe alloy and the maximum enhancement for the Al2O3 supported catalysts was due to the ability of the support to adsorb CO2.", "author" : [ { "dropping-particle" : "", "family" : "Pandey", "given" : "Dharmendra", "non-dropping-particle" : "", "parse-names" : false, "suffix" : "" }, { "dropping-particle" : "", "family" : "Deo", "given" : "Goutam", "non-dropping-particle" : "", "parse-names" : false, "suffix" : "" } ], "container-title" : "Journal of Industrial and Engineering Chemistry", "id" : "ITEM-5", "issued" : { "date-parts" : [ [ "2015" ] ] }, "title" : "Effect of support on the catalytic activity of supported Ni-Fe catalysts for the CO2 methanation reaction", "type" : "article-newspaper" }, "uris" : [ "http://www.mendeley.com/documents/?uuid=ac6b81e4-69ca-40d6-a9ad-2e4e76164b6b" ] }, { "id" : "ITEM-6", "itemData" : { "DOI" : "10.1021/j100245a014", "ISSN" : "0022-3654", "abstract" : "The methanation of COz over Ni(100) was studied with H2/C02 ratios of 4/1 and 96/1 (total pressures of 120 and 97 torr) for temperatures between 450 and 750 K. Large amounta of CO were formed, with activation energies of 21.2 and 17.4-19.7 kcal mol-' for CH4 and CO formation, respectively. The absolute CHI production rates were very close to those seen for methanation of CO. These results support a mechanism with CO and C(a) intermediates. Adsorption of K and/or S resulted in changes in the amounta and rates of CHI and CO production, but no change in activation energy. Results showed that the effects of K(a) can compensate for the effects of S(a), and support electronic interaction as responsible for poisoning/promotion effects.", "author" : [ { "dropping-particle" : "", "family" : "Peebles", "given" : "D. E.", "non-dropping-particle" : "", "parse-names" : false, "suffix" : "" }, { "dropping-particle" : "", "family" : "Goodman", "given" : "D. W.", "non-dropping-particle" : "", "parse-names" : false, "suffix" : "" }, { "dropping-particle" : "", "family" : "White", "given" : "J. M.", "non-dropping-particle" : "", "parse-names" : false, "suffix" : "" } ], "container-title" : "The Journal of Physical Chemistry", "id" : "ITEM-6", "issue" : "22", "issued" : { "date-parts" : [ [ "1983" ] ] }, "page" : "4378-4387", "title" : "Methanation of carbon dioxide on nickel(100) and the effects of surface modifiers", "type" : "article-journal", "volume" : "87" }, "uris" : [ "http://www.mendeley.com/documents/?uuid=4c5b8226-a262-4b8d-b3f6-5d8cbd0b0651" ] }, { "id" : "ITEM-7", "itemData" : { "DOI" : "10.1016/j.ces.2015.10.026", "ISBN" : "4417159467", "ISSN" : "00092509", "abstract" : "The methanation of CO2 was investigated over a wide range of partial pressures of products and reactants using a gradientless, spinning-basket reactor operated in batch mode. The rate and selectivity of CO2 methanation, using a 12 wt% Ni/\u03b3-Al2O3 catalyst, were explored at temperatures 453-483 K and pressures up to 20 bar. The rate was found to increase with increasing partial pressures of H2 and CO2 when the partial pressures of these reactants were low; however, the rate of reaction was found to be insensitive to changes in the partial pressures of H2 and CO2 when their partial pressures were high. A convenient method of determining the effect of H2O on the rate of reaction was also developed using the batch reactor and the inhibitory effect of H2O on CO2 methanation was quantified. The kinetic measurements were compared with a mathematical model of the reactor, in which different kinetic expressions were explored. The kinetics of the reaction were found to be consistent with a mechanism in which adsorbed CO2 dissociated to adsorbed CO and O on the surface of the catalyst with the rate-limiting step being the subsequent dissociation of adsorbed CO.", "author" : [ { "dropping-particle" : "", "family" : "Yang Lim", "given" : "Jin", "non-dropping-particle" : "", "parse-names" : false, "suffix" : "" }, { "dropping-particle" : "", "family" : "McGregor", "given" : "J.", "non-dropping-particle" : "", "parse-names" : false, "suffix" : "" }, { "dropping-particle" : "", "family" : "Sederman", "given" : "A. J.", "non-dropping-particle" : "", "parse-names" : false, "suffix" : "" }, { "dropping-particle" : "", "family" : "Dennis", "given" : "J. S.", "non-dropping-particle" : "", "parse-names" : false, "suffix" : "" } ], "container-title" : "Chemical Engineering Science", "id" : "ITEM-7", "issued" : { "date-parts" : [ [ "2016" ] ] }, "page" : "28-45", "title" : "Kinetic studies of CO2 methanation over a Ni/\u03b3-Al2O3 catalyst using a batch reactor", "type" : "article-journal", "volume" : "141" }, "uris" : [ "http://www.mendeley.com/documents/?uuid=2a9d0331-4ae4-4c73-b233-be4051e9d7ae" ] }, { "id" : "ITEM-8", "itemData" : { "DOI" : "10.1016/0021-9517(81)90040-3", "ISBN" : "0021-9517", "ISSN" : "10902694", "abstract" : "Specific, intrinsic rates and product distributions for CO2 hydrogenation on Ni SiO2 were determined at 500-575 K, 140-2500 kPa, and a range of space velocities. The data show that the turnover number for CO2 methanation on nickel is the same as for CO methanation at 525 K; apparent activation energies for CH4, formation are 96 and 80 kJ/mol in CO and CO2 hydrogenation, respectively. Besides methane, CO and small amounts of C2 hydrocarbons are produced as products of CO2 methanation; the product distribution is a function of space velocity from 4000 to 49,000 h-1, the yield of methane being significantly higher at low space velocities. Results of conversion vs temperature tests show that the production of CH4 is higher from CO than CO2 hydrogenation over the temperature range 500-725 K. \u00a9 1981.", "author" : [ { "dropping-particle" : "", "family" : "Weatherbee", "given" : "Gordon D.", "non-dropping-particle" : "", "parse-names" : false, "suffix" : "" }, { "dropping-particle" : "", "family" : "Bartholomew", "given" : "Calvin H.", "non-dropping-particle" : "", "parse-names" : false, "suffix" : "" } ], "container-title" : "Journal of Catalysis", "id" : "ITEM-8", "issue" : "1", "issued" : { "date-parts" : [ [ "1981" ] ] }, "page" : "67-76", "title" : "Hydrogenation of CO2 on group VIII metals. I. Specific activity of Ni SiO2", "type" : "article-journal", "volume" : "68" }, "uris" : [ "http://www.mendeley.com/documents/?uuid=edd30413-1c3f-4e07-9d7e-532110ffe4af" ] }, { "id" : "ITEM-9", "itemData" : { "author" : [ { "dropping-particle" : "", "family" : "Rossi", "given" : "F.", "non-dropping-particle" : "", "parse-names" : false, "suffix" : "" }, { "dropping-particle" : "", "family" : "Castellani", "given" : "B.", "non-dropping-particle" : "", "parse-names" : false, "suffix" : "" }, { "dropping-particle" : "", "family" : "Morini", "given" : "E.", "non-dropping-particle" : "", "parse-names" : false, "suffix" : "" }, { "dropping-particle" : "Di", "family" : "Giovanna", "given" : "L.", "non-dropping-particle" : "", "parse-names" : false, "suffix" : "" }, { "dropping-particle" : "", "family" : "Corsi", "given" : "N.", "non-dropping-particle" : "", "parse-names" : false, "suffix" : "" }, { "dropping-particle" : "", "family" : "Giuliobello", "given" : "M.", "non-dropping-particle" : "", "parse-names" : false, "suffix" : "" }, { "dropping-particle" : "", "family" : "Nicolini", "given" : "A.", "non-dropping-particle" : "", "parse-names" : false, "suffix" : "" } ], "container-title" : "Third Southern African Solar Energy Conference", "id" : "ITEM-9", "issued" : { "date-parts" : [ [ "2014" ] ] }, "page" : "341-346", "publisher-place" : "Kruger National Park, South Africa", "title" : "Experimental apparatus for solar energy storage via methane production", "type" : "paper-conference" }, "uris" : [ "http://www.mendeley.com/documents/?uuid=dcf006b3-89e8-406e-9659-1809e1d08e41" ] } ], "mendeley" : { "formattedCitation" : "[3,7,11\u201317]", "plainTextFormattedCitation" : "[3,7,11\u201317]", "previouslyFormattedCitation" : "[3,7,11\u201317]" }, "properties" : { "noteIndex" : 0 }, "schema" : "https://github.com/citation-style-language/schema/raw/master/csl-citation.json" }</w:instrText>
      </w:r>
      <w:r>
        <w:rPr>
          <w:rFonts w:cs="Arial"/>
          <w:lang w:val="en-US" w:eastAsia="en-ZA" w:bidi="en-US"/>
        </w:rPr>
        <w:fldChar w:fldCharType="separate"/>
      </w:r>
      <w:r>
        <w:rPr>
          <w:rFonts w:cs="Arial"/>
          <w:noProof/>
          <w:lang w:val="en-US" w:eastAsia="en-ZA" w:bidi="en-US"/>
        </w:rPr>
        <w:t>[3,7,11–17]</w:t>
      </w:r>
      <w:r>
        <w:rPr>
          <w:rFonts w:cs="Arial"/>
          <w:lang w:val="en-US" w:eastAsia="en-ZA" w:bidi="en-US"/>
        </w:rPr>
        <w:fldChar w:fldCharType="end"/>
      </w:r>
      <w:r>
        <w:rPr>
          <w:rFonts w:cs="Arial"/>
          <w:lang w:val="en-US" w:eastAsia="en-ZA" w:bidi="en-US"/>
        </w:rPr>
        <w:t xml:space="preserve">, Ru </w:t>
      </w:r>
      <w:r>
        <w:rPr>
          <w:rFonts w:cs="Arial"/>
          <w:lang w:val="en-US" w:eastAsia="en-ZA" w:bidi="en-US"/>
        </w:rPr>
        <w:fldChar w:fldCharType="begin" w:fldLock="1"/>
      </w:r>
      <w:r>
        <w:rPr>
          <w:rFonts w:cs="Arial"/>
          <w:lang w:val="en-US" w:eastAsia="en-ZA" w:bidi="en-US"/>
        </w:rPr>
        <w:instrText>ADDIN CSL_CITATION { "citationItems" : [ { "id" : "ITEM-1", "itemData" : { "DOI" : "10.1016/j.ces.2006.11.020", "ISBN" : "0009-2509", "ISSN" : "00092509", "abstract" : "This paper describes the development of a microchannel-based Sabatier reactor for applications such as propellant production on Mars or space habitat air revitalization. Microchannel designs offer advantages for a compact reactor with excellent thermal control. This paper discusses the development of a Ru - TiO\n                        2-based catalyst using powdered form and its application and testing in a microchannel reactor. The resultant catalyst and microchannel reactor demonstrates good conversion, selectivity, and longevity in a compact device. A chemically reacting flow model is used to assist experimental interpretation and to suggest microchannel design approaches. A kinetic rate expression for the global Sabatier reaction is developed and validated using computational models to interpret packed-bed experiments with catalysts in powder form. The resulting global reaction is then incorporated into a reactive plug-flow model that represents a microchannel reactor. ?? 2006 Elsevier Ltd. All rights reserved.", "author" : [ { "dropping-particle" : "", "family" : "Brooks", "given" : "Kriston P.", "non-dropping-particle" : "", "parse-names" : false, "suffix" : "" }, { "dropping-particle" : "", "family" : "Hu", "given" : "Jianli", "non-dropping-particle" : "", "parse-names" : false, "suffix" : "" }, { "dropping-particle" : "", "family" : "Zhu", "given" : "Huayang", "non-dropping-particle" : "", "parse-names" : false, "suffix" : "" }, { "dropping-particle" : "", "family" : "Kee", "given" : "Robert J.", "non-dropping-particle" : "", "parse-names" : false, "suffix" : "" } ], "container-title" : "Chemical Engineering Science", "id" : "ITEM-1", "issue" : "4", "issued" : { "date-parts" : [ [ "2007" ] ] }, "page" : "1161-1170", "title" : "Methanation of carbon dioxide by hydrogen reduction using the Sabatier process in microchannel reactors", "type" : "article-journal", "volume" : "62" }, "uris" : [ "http://www.mendeley.com/documents/?uuid=449624af-9fe8-4f75-a7c7-343f5609ca9b" ] }, { "id" : "ITEM-2", "itemData" : { "DOI" : "10.1016/j.jcou.2015.10.003", "ISBN" : "0169-4332", "ISSN" : "22129820", "abstract" : "Kinetics of CO2 hydrogenation over a 10% Ru/??-Al2O3 catalyst were investigated using thermogravimetric analysis and a differential reactor approach at atmospheric pressure and 230-245 ??C. The data is consistent with an Eley-Rideal mechanism where H2 gas reacts with adsorbed CO2 species. Activation energy, pre-exponential factor and reaction orders with respect to CO2, H2, CH4, and H2O were determined to develop an empirical rate equation. Methane was the only hydrocarbon product observed during CO2 hydrogenation. The activation energy was found to be 66.1 kJ/g-mole CH4. The reaction order for H2 was 0.88 and for CO2 0.34. Product reaction orders were essentially zero. This work is part of a larger study related to capture and conversion of CO2 to synthetic natural gas.", "author" : [ { "dropping-particle" : "", "family" : "Duyar", "given" : "Melis S.", "non-dropping-particle" : "", "parse-names" : false, "suffix" : "" }, { "dropping-particle" : "", "family" : "Ramachandran", "given" : "Arvind", "non-dropping-particle" : "", "parse-names" : false, "suffix" : "" }, { "dropping-particle" : "", "family" : "Wang", "given" : "Christine", "non-dropping-particle" : "", "parse-names" : false, "suffix" : "" }, { "dropping-particle" : "", "family" : "Farrauto", "given" : "Robert J.", "non-dropping-particle" : "", "parse-names" : false, "suffix" : "" } ], "container-title" : "Journal of CO2 Utilization", "id" : "ITEM-2", "issued" : { "date-parts" : [ [ "2015" ] ] }, "page" : "27-33", "publisher" : "Elsevier Ltd.", "title" : "Kinetics of CO2 methanation over Ru/??-Al2O3 and implications for renewable energy storage applications", "type" : "article-journal", "volume" : "12" }, "uris" : [ "http://www.mendeley.com/documents/?uuid=e0562ce5-8a9c-43c4-8fae-268ddb038149" ] }, { "id" : "ITEM-3", "itemData" : { "author" : [ { "dropping-particle" : "", "family" : "Junaedi", "given" : "Christian", "non-dropping-particle" : "", "parse-names" : false, "suffix" : "" }, { "dropping-particle" : "", "family" : "Hawley", "given" : "Kyle", "non-dropping-particle" : "", "parse-names" : false, "suffix" : "" }, { "dropping-particle" : "", "family" : "Walsh", "given" : "Dennis", "non-dropping-particle" : "", "parse-names" : false, "suffix" : "" }, { "dropping-particle" : "", "family" : "Roychoudhury", "given" : "Subir", "non-dropping-particle" : "", "parse-names" : false, "suffix" : "" }, { "dropping-particle" : "", "family" : "Combustion", "given" : "Precision", "non-dropping-particle" : "", "parse-names" : false, "suffix" : "" }, { "dropping-particle" : "", "family" : "Haven", "given" : "North", "non-dropping-particle" : "", "parse-names" : false, "suffix" : "" }, { "dropping-particle" : "", "family" : "Abney", "given" : "Morgan B.", "non-dropping-particle" : "", "parse-names" : false, "suffix" : "" }, { "dropping-particle" : "", "family" : "Perry", "given" : "Jay L", "non-dropping-particle" : "", "parse-names" : false, "suffix" : "" }, { "dropping-particle" : "", "family" : "George", "given" : "Nasa", "non-dropping-particle" : "", "parse-names" : false, "suffix" : "" }, { "dropping-particle" : "", "family" : "Space", "given" : "C Marshall", "non-dropping-particle" : "", "parse-names" : false, "suffix" : "" } ], "container-title" : "44th International Conference on Environmental Systems", "id" : "ITEM-3", "issue" : "July", "issued" : { "date-parts" : [ [ "2014" ] ] }, "title" : "CO 2 Reduction Assembly Prototype using Microlith-based Sabatier Reactor for Ground Demonstration", "type" : "article-journal" }, "uris" : [ "http://www.mendeley.com/documents/?uuid=7e8ac6b4-0057-4ffc-88a2-0c5e6bac163e" ] }, { "id" : "ITEM-4", "itemData" : { "DOI" : "10.1016/0021-9517(73)90159-0", "ISSN" : "00219517", "abstract" : "The Sabatier Reaction, 4H2 + CO2 2H2O + CH4 + 43 kcal was examined experimentally at 1 atm using a 0.5% ruthenium on alumina catalyst. Data are given from 62 experimental runs made in a 4.15 cm3 isothermal reactor with from 0 to 85% conversion in the inlet feed gases and feed flow ratios (H2 to CO2) of 1.9 to 3.9, and temperatures from 400 to 680 \u00b0F. Empirical correlations, based on modified gas phase kinetics, were made to describe the reaction rate over the experimental range.", "author" : [ { "dropping-particle" : "", "family" : "LUNDE", "given" : "P", "non-dropping-particle" : "", "parse-names" : false, "suffix" : "" } ], "container-title" : "Journal of Catalysis", "id" : "ITEM-4", "issue" : "3", "issued" : { "date-parts" : [ [ "1973" ] ] }, "page" : "423-429", "title" : "Rates of methane formation from carbon dioxide and hydrogen over a ruthenium catalyst*1", "type" : "article-journal", "volume" : "30" }, "uris" : [ "http://www.mendeley.com/documents/?uuid=45746ff1-fd29-4f88-841e-11800c746a0e" ] }, { "id" : "ITEM-5", "itemData" : { "DOI" : "10.2298/JSC0512419L", "ISSN" : "03525139", "abstract" : "The effects of yttrium on the hydrogenation performance and surface properties of a Ru/sepiolite catalyst were studied. With CO2 methanation and CS2 poisoning as the testing reactons, TPR, TPD, XRD and CO chemisorption as the characterizations, the results showed that the presence of yttrium can increase the hydrogenation activity and anti-poisoning capacity of the Ru/sepiolite catalyst, which is due to a change of surface properties of the Ru/sepiolite. In the process of the catalytic reaction, the adjusting behavior of yttrium for the Ru/sepiolite catalyst aids in increasing the catalytic activity and anti-poisoning capacity of the catalyst.", "author" : [ { "dropping-particle" : "", "family" : "Luo", "given" : "Laitao", "non-dropping-particle" : "", "parse-names" : false, "suffix" : "" }, { "dropping-particle" : "", "family" : "Li", "given" : "Songjun", "non-dropping-particle" : "", "parse-names" : false, "suffix" : "" }, { "dropping-particle" : "", "family" : "Zhu", "given" : "Yu", "non-dropping-particle" : "", "parse-names" : false, "suffix" : "" } ], "container-title" : "Journal of the Serbian Chemical Society", "id" : "ITEM-5", "issue" : "12", "issued" : { "date-parts" : [ [ "2005" ] ] }, "page" : "1419-1425", "title" : "The effects of yttrium on the hydrogenation performance and surface properties of a ruthenium-supported catalyst", "type" : "article-journal", "volume" : "70" }, "uris" : [ "http://www.mendeley.com/documents/?uuid=f5a3b896-0a3e-422b-92c9-2665a91e2cd6" ] }, { "id" : "ITEM-6", "itemData" : { "DOI" : "10.1016/S0376-7388(97)00055-0", "ISSN" : "03767388", "abstract" : "Using membrane reactor integrated with water vapor permselective membrane, the Sabatier reaction for the methanation of carbon dioxide with hydrogen, CO2 + 4H2 ??? CH4+2H2O, was investigated. The reaction experiments were carried out under the conditions of superficial space velocity 0.030-0.123 s-1, molar ratio of H2 to CO2 in the feed gas, 1-5, operating pressure 0.2 MPa absolute, and temperature 480-719 K. The conversion was increased about 18% in maximum with the membrane. Theoretical equations for Sabatier reaction with and without membrane were derived and applied to analyze the experimental data of CO2 conversion.", "author" : [ { "dropping-particle" : "", "family" : "Ohya", "given" : "Haruhiko", "non-dropping-particle" : "", "parse-names" : false, "suffix" : "" }, { "dropping-particle" : "", "family" : "Fun", "given" : "Jun", "non-dropping-particle" : "", "parse-names" : false, "suffix" : "" }, { "dropping-particle" : "", "family" : "Kawamura", "given" : "Hironori", "non-dropping-particle" : "", "parse-names" : false, "suffix" : "" }, { "dropping-particle" : "", "family" : "Itoh", "given" : "Koutarou", "non-dropping-particle" : "", "parse-names" : false, "suffix" : "" }, { "dropping-particle" : "", "family" : "Ohashi", "given" : "Hirofumi", "non-dropping-particle" : "", "parse-names" : false, "suffix" : "" }, { "dropping-particle" : "", "family" : "Aihara", "given" : "Masahiko", "non-dropping-particle" : "", "parse-names" : false, "suffix" : "" }, { "dropping-particle" : "", "family" : "Tanisho", "given" : "Shigeharu", "non-dropping-particle" : "", "parse-names" : false, "suffix" : "" }, { "dropping-particle" : "", "family" : "Negishi", "given" : "Youichi", "non-dropping-particle" : "", "parse-names" : false, "suffix" : "" } ], "container-title" : "Journal of Membrane Science", "id" : "ITEM-6", "issue" : "1-2", "issued" : { "date-parts" : [ [ "1997" ] ] }, "page" : "237-247", "title" : "Methanation of carbon dioxide by using membrane reactor integrated with water vapor permselective membrane and its analysis", "type" : "article-journal", "volume" : "131" }, "uris" : [ "http://www.mendeley.com/documents/?uuid=254854ec-b476-4a36-bb7f-d70f3510ad47" ] }, { "id" : "ITEM-7", "itemData" : { "author" : [ { "dropping-particle" : "", "family" : "Vanderwiel", "given" : "D P", "non-dropping-particle" : "", "parse-names" : false, "suffix" : "" }, { "dropping-particle" : "", "family" : "Wang", "given" : "Y", "non-dropping-particle" : "", "parse-names" : false, "suffix" : "" }, { "dropping-particle" : "", "family" : "Tonkovich", "given" : "a Y", "non-dropping-particle" : "", "parse-names" : false, "suffix" : "" }, { "dropping-particle" : "", "family" : "Wegeng", "given" : "R S", "non-dropping-particle" : "", "parse-names" : false, "suffix" : "" }, { "dropping-particle" : "", "family" : "Box", "given" : "P O", "non-dropping-particle" : "", "parse-names" : false, "suffix" : "" }, { "dropping-particle" : "", "family" : "K-", "given" : "Msin", "non-dropping-particle" : "", "parse-names" : false, "suffix" : "" } ], "container-title" : "IMRET 4: Proceedings of the 4th International Conference on Microreaction Technology, Topical Conference Proceedings, AIChE Spring National Meeting, March 5-9, 2000 Atlanta, GA", "id" : "ITEM-7", "issue" : "2", "issued" : { "date-parts" : [ [ "0" ] ] }, "page" : "187-193", "title" : "Carbon Dioxide Conversions in Microreactors", "type" : "article-journal" }, "uris" : [ "http://www.mendeley.com/documents/?uuid=f61e849a-5d4c-40e9-875e-254fb8be9d79" ] }, { "id" : "ITEM-8", "itemData" : { "DOI" : "10.1016/j.ijhydene.2014.04.133", "ISBN" : "0360-3199", "ISSN" : "03603199", "abstract" : "The effect of CeO2 loading amount of Ru/CeO2/Al 2O3 on CO2 methanation activity and CH 4 selectivity was studied. The CO2 reaction rate was increased by adding CeO2 to Ru/Al2O3, and the order of CO2 reaction rate at 250 ??C is Ru/30%CeO 2/Al2O3 &gt; Ru/60%CeO2/Al 2O3 &gt; Ru/CeO2 &gt; Ru/Al2O 3. With a decrease in CeO2 loading of Ru/CeO 2/Al2O3 from 98% to 30%, partial reduction of CeO2 surface was promoted and the specific surface area was enlarged. Furthermore, it was observed using FTIR technique that intermediates of CO 2 methanation, such as formate and carbonate species, reacted with H2 faster over Ru/30%CeO2/Al2O3 and Ru/CeO2 than over Ru/Al2O3. These could result in the high CO2 reaction rate over CeO2-containing catalysts. As for the selectivity to CH4, Ru/30%CeO 2/Al2O3 exhibited high CH4 selectivity compared with Ru/CeO2, due to prompt CO conversion into CH4 over Ru/30%CeO2/Al2O3. ?? 2014, Hydrogen Energy Publications, LLC. Published by Elsevier Ltd. All rights reserved.", "author" : [ { "dropping-particle" : "", "family" : "Tada", "given" : "Shohei", "non-dropping-particle" : "", "parse-names" : false, "suffix" : "" }, { "dropping-particle" : "", "family" : "Ochieng", "given" : "Ochieng James", "non-dropping-particle" : "", "parse-names" : false, "suffix" : "" }, { "dropping-particle" : "", "family" : "Kikuchi", "given" : "Ryuji", "non-dropping-particle" : "", "parse-names" : false, "suffix" : "" }, { "dropping-particle" : "", "family" : "Haneda", "given" : "Takahide", "non-dropping-particle" : "", "parse-names" : false, "suffix" : "" }, { "dropping-particle" : "", "family" : "Kameyama", "given" : "Hiromichi", "non-dropping-particle" : "", "parse-names" : false, "suffix" : "" } ], "container-title" : "International Journal of Hydrogen Energy", "id" : "ITEM-8", "issue" : "19", "issued" : { "date-parts" : [ [ "2014" ] ] }, "page" : "10090-10100", "title" : "Promotion of CO2 methanation activity and CH4 selectivity at low temperatures over Ru/CeO2/Al2O 3 catalysts", "type" : "article-journal", "volume" : "39" }, "uris" : [ "http://www.mendeley.com/documents/?uuid=e9cad1cf-1bad-41d1-8a5a-2d4086607b02" ] }, { "id" : "ITEM-9", "itemData" : { "DOI" : "10.1016/j.cjche.2015.07.002", "ISSN" : "10049541", "abstract" : "TiO2 modified Al2O3 binary oxide was prepared by a wet-impregnation method and used as the support for ruthenium catalyst. The catalytic performance of Ru/TiO2-Al2O3 catalyst in CO2 methanation reaction was investigated. Compared with Ru/Al2O3 catalyst, the Ru/TiO2-Al2O3 catalytic system exhibited a much higher activity in CO2 methanation reaction. The reaction rate over Ru/TiO2-Al2O3 was 0.59 mol CO2\u00b7(g Ru)- 1\u00b7h- 1, 3.1 times higher than that on Ru/Al2O3 [0.19 mol CO2\u00b7(g Ru)- 1\u00b7h- 1]. The effect of TiO2 content and TiO2-Al2O3 calcination temperature on catalytic performance was addressed. The corresponding structures of each catalyst were characterized by means of H2-TPR, XRD, and TEM. Results indicated that the averaged particle size of the Ru on TiO2-Al2O3 support is 2.8 nm, smaller than that on Al2O3 support of 4.3 nm. Therefore, we conclude that the improved activity over Ru/TiO2-Al2O3 catalyst is originated from the smaller particle size of ruthenium resulting from a strong interaction between Ru and the rutile-TiO2 support, which hindered the aggregation of Ru nano-particles.", "author" : [ { "dropping-particle" : "", "family" : "Xu", "given" : "Jinghua", "non-dropping-particle" : "", "parse-names" : false, "suffix" : "" }, { "dropping-particle" : "", "family" : "Lin", "given" : "Qingquan", "non-dropping-particle" : "", "parse-names" : false, "suffix" : "" }, { "dropping-particle" : "", "family" : "Su", "given" : "Xiong", "non-dropping-particle" : "", "parse-names" : false, "suffix" : "" }, { "dropping-particle" : "", "family" : "Duan", "given" : "Hongmin", "non-dropping-particle" : "", "parse-names" : false, "suffix" : "" }, { "dropping-particle" : "", "family" : "Geng", "given" : "Haoran", "non-dropping-particle" : "", "parse-names" : false, "suffix" : "" }, { "dropping-particle" : "", "family" : "Huang", "given" : "Yanqiang", "non-dropping-particle" : "", "parse-names" : false, "suffix" : "" } ], "container-title" : "Chinese Journal of Chemical Engineering", "id" : "ITEM-9", "issue" : "1", "issued" : { "date-parts" : [ [ "2016" ] ] }, "page" : "140-145", "publisher" : "Elsevier B.V.", "title" : "CO2 methanation over TiO2-Al2O3 binary oxides supported Ru catalysts", "type" : "article-journal", "volume" : "24" }, "uris" : [ "http://www.mendeley.com/documents/?uuid=95e87d75-6c59-49af-80d8-8c1ee68db1c9" ] }, { "id" : "ITEM-10", "itemData" : { "DOI" : "10.1016/j.jtice.2013.04.009", "ISSN" : "18761070", "abstract" : "Malaysia sour natural gas that containing high contents of carbon dioxide (CO2), hydrogen sulphide (H2S) and other which can freeze out on exchanger surface, plugging lines and reduce plant efficiency. Therefore there is need for treat sour to sweet natural gas. In this study, the investigation influences of Ru over manganese/copper oxides catalysts were conducted and the catalysts were prepared by wet impregnation method. The Ru/Mn/Cu (RMC) catalysts were activated at different temperatures (100-1100\u00b0C) for 5h and at different ratios of Ru. Ru/Mn/Cu(10:30:60)/Al2O3 (RMC10) catalyst calcined at 1000\u00b0C was assigned as the most potential catalyst, which gave 98.5% CO2 conversion and 70% methane (CH4) formation at reaction temperature of 220\u00b0C. Moreover, the XRD diffractograms showed that the catalyst calcined at 1000\u00b0C and 1100\u00b0C are highly crystalline phase, while catalysts calcined at 100\u00b0C, 400\u00b0C and 700\u00b0C showed highly amorphous in structure which dominated by Al2O3 support material. The FESEM analysis revealed that fresh and used catalysts were covered with homogeneously dispersed and small size surface particles in the range of 0.2-0.3\u03bcm. Furthermore, EDX analysis revealed that there was 24% reduction of Ru in the used catalyst compared to fresh catalyst. Nitrogen adsorption analysis showed 9% reduction of surface area over the used catalyst. \u00a9 2013 Taiwan Institute of Chemical Engineers.", "author" : [ { "dropping-particle" : "", "family" : "Zamani", "given" : "A. H.", "non-dropping-particle" : "", "parse-names" : false, "suffix" : "" }, { "dropping-particle" : "", "family" : "Ali", "given" : "R.", "non-dropping-particle" : "", "parse-names" : false, "suffix" : "" }, { "dropping-particle" : "", "family" : "Bakar", "given" : "W. A W A", "non-dropping-particle" : "", "parse-names" : false, "suffix" : "" } ], "container-title" : "Journal of the Taiwan Institute of Chemical Engineers", "id" : "ITEM-10", "issue" : "1", "issued" : { "date-parts" : [ [ "2014" ] ] }, "page" : "143-152", "publisher" : "Taiwan Institute of Chemical Engineers", "title" : "The investigation of Ru/Mn/Cu-Al2O3 oxide catalysts for CO2/H2 methanation in natural gas", "type" : "article-journal", "volume" : "45" }, "uris" : [ "http://www.mendeley.com/documents/?uuid=90afc41f-b0f2-401b-96d1-c1435000c37b" ] } ], "mendeley" : { "formattedCitation" : "[18\u201327]", "plainTextFormattedCitation" : "[18\u201327]", "previouslyFormattedCitation" : "[18\u201327]" }, "properties" : { "noteIndex" : 0 }, "schema" : "https://github.com/citation-style-language/schema/raw/master/csl-citation.json" }</w:instrText>
      </w:r>
      <w:r>
        <w:rPr>
          <w:rFonts w:cs="Arial"/>
          <w:lang w:val="en-US" w:eastAsia="en-ZA" w:bidi="en-US"/>
        </w:rPr>
        <w:fldChar w:fldCharType="separate"/>
      </w:r>
      <w:r>
        <w:rPr>
          <w:rFonts w:cs="Arial"/>
          <w:noProof/>
          <w:lang w:val="en-US" w:eastAsia="en-ZA" w:bidi="en-US"/>
        </w:rPr>
        <w:t>[18–27]</w:t>
      </w:r>
      <w:r>
        <w:rPr>
          <w:rFonts w:cs="Arial"/>
          <w:lang w:val="en-US" w:eastAsia="en-ZA" w:bidi="en-US"/>
        </w:rPr>
        <w:fldChar w:fldCharType="end"/>
      </w:r>
      <w:r>
        <w:rPr>
          <w:rFonts w:cs="Arial"/>
          <w:lang w:val="en-US" w:eastAsia="en-ZA" w:bidi="en-US"/>
        </w:rPr>
        <w:t xml:space="preserve">, Rh </w:t>
      </w:r>
      <w:r>
        <w:rPr>
          <w:rFonts w:cs="Arial"/>
          <w:lang w:val="en-US" w:eastAsia="en-ZA" w:bidi="en-US"/>
        </w:rPr>
        <w:fldChar w:fldCharType="begin" w:fldLock="1"/>
      </w:r>
      <w:r>
        <w:rPr>
          <w:rFonts w:cs="Arial"/>
          <w:lang w:val="en-US" w:eastAsia="en-ZA" w:bidi="en-US"/>
        </w:rPr>
        <w:instrText>ADDIN CSL_CITATION { "citationItems" : [ { "id" : "ITEM-1", "itemData" : { "DOI" : "10.1016/j.catcom.2010.03.020", "ISBN" : "1566-7367", "ISSN" : "15667367", "abstract" : "The hydrogenation of CO, CO+CO2, and CO2 over titania-supported Rh, Rh-Fe, and Fe catalysts was carried out in a fixed-bed micro-reactor system nominally operating at 543 K, 20 atm, 20 cm3min-1 gas flow (corresponding to a weight hourly space velocity (WHSV) of 8000 cm 3gcat-1 h-1), with a H2:(CO+CO2) ratio of 1:1. A comparative study of CO and CO2 hydrogenation shows that while Rh and Rh-Fe/TiO2 catalysts exhibited appreciable selectivity to ethanol during CO hydrogenation, they functioned primarily as methanation catalysts during CO2 hydrogenation. The Fe/TiO 2 sample was primarily a reverse water gas shift catalyst. Higher reaction temperatures favored methane formation over alcohol synthesis and reverse water gas shift. The effect of pressure was not significant over the range of 10 to 20 atm. ?? 2010 Elsevier B.V. All rights reserved.", "author" : [ { "dropping-particle" : "", "family" : "Gogate", "given" : "Makarand R.", "non-dropping-particle" : "", "parse-names" : false, "suffix" : "" }, { "dropping-particle" : "", "family" : "Davis", "given" : "Robert J.", "non-dropping-particle" : "", "parse-names" : false, "suffix" : "" } ], "container-title" : "Catalysis Communications", "id" : "ITEM-1", "issue" : "10", "issued" : { "date-parts" : [ [ "2010" ] ] }, "page" : "901-906", "publisher" : "Elsevier B.V.", "title" : "Comparative study of CO and CO2 hydrogenation over supported Rh-Fe catalysts", "type" : "article-journal", "volume" : "11" }, "uris" : [ "http://www.mendeley.com/documents/?uuid=c283c133-0caa-489a-8f63-dce4d6e029e3" ] } ], "mendeley" : { "formattedCitation" : "[28]", "plainTextFormattedCitation" : "[28]", "previouslyFormattedCitation" : "[28]" }, "properties" : { "noteIndex" : 0 }, "schema" : "https://github.com/citation-style-language/schema/raw/master/csl-citation.json" }</w:instrText>
      </w:r>
      <w:r>
        <w:rPr>
          <w:rFonts w:cs="Arial"/>
          <w:lang w:val="en-US" w:eastAsia="en-ZA" w:bidi="en-US"/>
        </w:rPr>
        <w:fldChar w:fldCharType="separate"/>
      </w:r>
      <w:r>
        <w:rPr>
          <w:rFonts w:cs="Arial"/>
          <w:noProof/>
          <w:lang w:val="en-US" w:eastAsia="en-ZA" w:bidi="en-US"/>
        </w:rPr>
        <w:t>[28]</w:t>
      </w:r>
      <w:r>
        <w:rPr>
          <w:rFonts w:cs="Arial"/>
          <w:lang w:val="en-US" w:eastAsia="en-ZA" w:bidi="en-US"/>
        </w:rPr>
        <w:fldChar w:fldCharType="end"/>
      </w:r>
      <w:r>
        <w:rPr>
          <w:rFonts w:cs="Arial"/>
          <w:lang w:val="en-US" w:eastAsia="en-ZA" w:bidi="en-US"/>
        </w:rPr>
        <w:t xml:space="preserve"> and Pd </w:t>
      </w:r>
      <w:r>
        <w:rPr>
          <w:rFonts w:cs="Arial"/>
          <w:lang w:val="en-US" w:eastAsia="en-ZA" w:bidi="en-US"/>
        </w:rPr>
        <w:fldChar w:fldCharType="begin" w:fldLock="1"/>
      </w:r>
      <w:r>
        <w:rPr>
          <w:rFonts w:cs="Arial"/>
          <w:lang w:val="en-US" w:eastAsia="en-ZA" w:bidi="en-US"/>
        </w:rPr>
        <w:instrText>ADDIN CSL_CITATION { "citationItems" : [ { "id" : "ITEM-1", "itemData" : { "DOI" : "10.1016/j.jcat.2011.02.003", "ISSN" : "00219517", "author" : [ { "dropping-particle" : "", "family" : "Park", "given" : "Jung-Nam", "non-dropping-particle" : "", "parse-names" : false, "suffix" : "" }, { "dropping-particle" : "", "family" : "McFarland", "given" : "Eric W.", "non-dropping-particle" : "", "parse-names" : false, "suffix" : "" } ], "container-title" : "Journal of Catalysis", "id" : "ITEM-1", "issue" : "2", "issued" : { "date-parts" : [ [ "2011" ] ] }, "page" : "403-404", "title" : "Erratum to \u201cA highly dispersed Pd\u2013Mg/SiO2 catalyst active for methanation of CO2\u201d [J. Catal. 266 (2009) 92\u201397]", "type" : "article-journal", "volume" : "279" }, "uris" : [ "http://www.mendeley.com/documents/?uuid=7da5fb22-6a0e-492d-a084-d3bf75b5745e" ] } ], "mendeley" : { "formattedCitation" : "[29]", "plainTextFormattedCitation" : "[29]", "previouslyFormattedCitation" : "[29]" }, "properties" : { "noteIndex" : 0 }, "schema" : "https://github.com/citation-style-language/schema/raw/master/csl-citation.json" }</w:instrText>
      </w:r>
      <w:r>
        <w:rPr>
          <w:rFonts w:cs="Arial"/>
          <w:lang w:val="en-US" w:eastAsia="en-ZA" w:bidi="en-US"/>
        </w:rPr>
        <w:fldChar w:fldCharType="separate"/>
      </w:r>
      <w:r>
        <w:rPr>
          <w:rFonts w:cs="Arial"/>
          <w:noProof/>
          <w:lang w:val="en-US" w:eastAsia="en-ZA" w:bidi="en-US"/>
        </w:rPr>
        <w:t>[29]</w:t>
      </w:r>
      <w:r>
        <w:rPr>
          <w:rFonts w:cs="Arial"/>
          <w:lang w:val="en-US" w:eastAsia="en-ZA" w:bidi="en-US"/>
        </w:rPr>
        <w:fldChar w:fldCharType="end"/>
      </w:r>
      <w:r>
        <w:rPr>
          <w:rFonts w:cs="Arial"/>
          <w:lang w:val="en-US" w:eastAsia="en-ZA" w:bidi="en-US"/>
        </w:rPr>
        <w:t xml:space="preserve">. Without exception, the aim of these early studies was </w:t>
      </w:r>
      <w:r>
        <w:rPr>
          <w:rFonts w:cs="Arial"/>
          <w:lang w:val="en-US" w:eastAsia="en-ZA" w:bidi="en-US"/>
        </w:rPr>
        <w:lastRenderedPageBreak/>
        <w:t xml:space="preserve">performed for the purposes of catalyst screening, and Ru was found to be the most active metal </w:t>
      </w:r>
      <w:r>
        <w:rPr>
          <w:rFonts w:cs="Arial"/>
          <w:lang w:val="en-US" w:eastAsia="en-ZA" w:bidi="en-US"/>
        </w:rPr>
        <w:fldChar w:fldCharType="begin" w:fldLock="1"/>
      </w:r>
      <w:r>
        <w:rPr>
          <w:rFonts w:cs="Arial"/>
          <w:lang w:val="en-US" w:eastAsia="en-ZA" w:bidi="en-US"/>
        </w:rPr>
        <w:instrText>ADDIN CSL_CITATION { "citationItems" : [ { "id" : "ITEM-1", "itemData" : { "DOI" : "10.1016/j.ces.2006.11.020", "ISBN" : "0009-2509", "ISSN" : "00092509", "abstract" : "This paper describes the development of a microchannel-based Sabatier reactor for applications such as propellant production on Mars or space habitat air revitalization. Microchannel designs offer advantages for a compact reactor with excellent thermal control. This paper discusses the development of a Ru - TiO\n                        2-based catalyst using powdered form and its application and testing in a microchannel reactor. The resultant catalyst and microchannel reactor demonstrates good conversion, selectivity, and longevity in a compact device. A chemically reacting flow model is used to assist experimental interpretation and to suggest microchannel design approaches. A kinetic rate expression for the global Sabatier reaction is developed and validated using computational models to interpret packed-bed experiments with catalysts in powder form. The resulting global reaction is then incorporated into a reactive plug-flow model that represents a microchannel reactor. ?? 2006 Elsevier Ltd. All rights reserved.", "author" : [ { "dropping-particle" : "", "family" : "Brooks", "given" : "Kriston P.", "non-dropping-particle" : "", "parse-names" : false, "suffix" : "" }, { "dropping-particle" : "", "family" : "Hu", "given" : "Jianli", "non-dropping-particle" : "", "parse-names" : false, "suffix" : "" }, { "dropping-particle" : "", "family" : "Zhu", "given" : "Huayang", "non-dropping-particle" : "", "parse-names" : false, "suffix" : "" }, { "dropping-particle" : "", "family" : "Kee", "given" : "Robert J.", "non-dropping-particle" : "", "parse-names" : false, "suffix" : "" } ], "container-title" : "Chemical Engineering Science", "id" : "ITEM-1", "issue" : "4", "issued" : { "date-parts" : [ [ "2007" ] ] }, "page" : "1161-1170", "title" : "Methanation of carbon dioxide by hydrogen reduction using the Sabatier process in microchannel reactors", "type" : "article-journal", "volume" : "62" }, "uris" : [ "http://www.mendeley.com/documents/?uuid=449624af-9fe8-4f75-a7c7-343f5609ca9b" ] }, { "id" : "ITEM-2", "itemData" : { "DOI" : "10.1016/j.jcou.2015.10.003", "ISBN" : "0169-4332", "ISSN" : "22129820", "abstract" : "Kinetics of CO2 hydrogenation over a 10% Ru/??-Al2O3 catalyst were investigated using thermogravimetric analysis and a differential reactor approach at atmospheric pressure and 230-245 ??C. The data is consistent with an Eley-Rideal mechanism where H2 gas reacts with adsorbed CO2 species. Activation energy, pre-exponential factor and reaction orders with respect to CO2, H2, CH4, and H2O were determined to develop an empirical rate equation. Methane was the only hydrocarbon product observed during CO2 hydrogenation. The activation energy was found to be 66.1 kJ/g-mole CH4. The reaction order for H2 was 0.88 and for CO2 0.34. Product reaction orders were essentially zero. This work is part of a larger study related to capture and conversion of CO2 to synthetic natural gas.", "author" : [ { "dropping-particle" : "", "family" : "Duyar", "given" : "Melis S.", "non-dropping-particle" : "", "parse-names" : false, "suffix" : "" }, { "dropping-particle" : "", "family" : "Ramachandran", "given" : "Arvind", "non-dropping-particle" : "", "parse-names" : false, "suffix" : "" }, { "dropping-particle" : "", "family" : "Wang", "given" : "Christine", "non-dropping-particle" : "", "parse-names" : false, "suffix" : "" }, { "dropping-particle" : "", "family" : "Farrauto", "given" : "Robert J.", "non-dropping-particle" : "", "parse-names" : false, "suffix" : "" } ], "container-title" : "Journal of CO2 Utilization", "id" : "ITEM-2", "issued" : { "date-parts" : [ [ "2015" ] ] }, "page" : "27-33", "publisher" : "Elsevier Ltd.", "title" : "Kinetics of CO2 methanation over Ru/??-Al2O3 and implications for renewable energy storage applications", "type" : "article-journal", "volume" : "12" }, "uris" : [ "http://www.mendeley.com/documents/?uuid=e0562ce5-8a9c-43c4-8fae-268ddb038149" ] }, { "id" : "ITEM-3", "itemData" : { "DOI" : "10.1016/0021-9517(73)90159-0", "ISSN" : "00219517", "abstract" : "The Sabatier Reaction, 4H2 + CO2 2H2O + CH4 + 43 kcal was examined experimentally at 1 atm using a 0.5% ruthenium on alumina catalyst. Data are given from 62 experimental runs made in a 4.15 cm3 isothermal reactor with from 0 to 85% conversion in the inlet feed gases and feed flow ratios (H2 to CO2) of 1.9 to 3.9, and temperatures from 400 to 680 \u00b0F. Empirical correlations, based on modified gas phase kinetics, were made to describe the reaction rate over the experimental range.", "author" : [ { "dropping-particle" : "", "family" : "LUNDE", "given" : "P", "non-dropping-particle" : "", "parse-names" : false, "suffix" : "" } ], "container-title" : "Journal of Catalysis", "id" : "ITEM-3", "issue" : "3", "issued" : { "date-parts" : [ [ "1973" ] ] }, "page" : "423-429", "title" : "Rates of methane formation from carbon dioxide and hydrogen over a ruthenium catalyst*1", "type" : "article-journal", "volume" : "30" }, "uris" : [ "http://www.mendeley.com/documents/?uuid=45746ff1-fd29-4f88-841e-11800c746a0e" ] }, { "id" : "ITEM-4", "itemData" : { "DOI" : "10.1016/j.cjche.2015.07.002", "ISSN" : "10049541", "abstract" : "TiO2 modified Al2O3 binary oxide was prepared by a wet-impregnation method and used as the support for ruthenium catalyst. The catalytic performance of Ru/TiO2-Al2O3 catalyst in CO2 methanation reaction was investigated. Compared with Ru/Al2O3 catalyst, the Ru/TiO2-Al2O3 catalytic system exhibited a much higher activity in CO2 methanation reaction. The reaction rate over Ru/TiO2-Al2O3 was 0.59 mol CO2\u00b7(g Ru)- 1\u00b7h- 1, 3.1 times higher than that on Ru/Al2O3 [0.19 mol CO2\u00b7(g Ru)- 1\u00b7h- 1]. The effect of TiO2 content and TiO2-Al2O3 calcination temperature on catalytic performance was addressed. The corresponding structures of each catalyst were characterized by means of H2-TPR, XRD, and TEM. Results indicated that the averaged particle size of the Ru on TiO2-Al2O3 support is 2.8 nm, smaller than that on Al2O3 support of 4.3 nm. Therefore, we conclude that the improved activity over Ru/TiO2-Al2O3 catalyst is originated from the smaller particle size of ruthenium resulting from a strong interaction between Ru and the rutile-TiO2 support, which hindered the aggregation of Ru nano-particles.", "author" : [ { "dropping-particle" : "", "family" : "Xu", "given" : "Jinghua", "non-dropping-particle" : "", "parse-names" : false, "suffix" : "" }, { "dropping-particle" : "", "family" : "Lin", "given" : "Qingquan", "non-dropping-particle" : "", "parse-names" : false, "suffix" : "" }, { "dropping-particle" : "", "family" : "Su", "given" : "Xiong", "non-dropping-particle" : "", "parse-names" : false, "suffix" : "" }, { "dropping-particle" : "", "family" : "Duan", "given" : "Hongmin", "non-dropping-particle" : "", "parse-names" : false, "suffix" : "" }, { "dropping-particle" : "", "family" : "Geng", "given" : "Haoran", "non-dropping-particle" : "", "parse-names" : false, "suffix" : "" }, { "dropping-particle" : "", "family" : "Huang", "given" : "Yanqiang", "non-dropping-particle" : "", "parse-names" : false, "suffix" : "" } ], "container-title" : "Chinese Journal of Chemical Engineering", "id" : "ITEM-4", "issue" : "1", "issued" : { "date-parts" : [ [ "2016" ] ] }, "page" : "140-145", "publisher" : "Elsevier B.V.", "title" : "CO2 methanation over TiO2-Al2O3 binary oxides supported Ru catalysts", "type" : "article-journal", "volume" : "24" }, "uris" : [ "http://www.mendeley.com/documents/?uuid=95e87d75-6c59-49af-80d8-8c1ee68db1c9" ] } ], "mendeley" : { "formattedCitation" : "[18,19,21,26]", "plainTextFormattedCitation" : "[18,19,21,26]", "previouslyFormattedCitation" : "[18,19,21,26]" }, "properties" : { "noteIndex" : 0 }, "schema" : "https://github.com/citation-style-language/schema/raw/master/csl-citation.json" }</w:instrText>
      </w:r>
      <w:r>
        <w:rPr>
          <w:rFonts w:cs="Arial"/>
          <w:lang w:val="en-US" w:eastAsia="en-ZA" w:bidi="en-US"/>
        </w:rPr>
        <w:fldChar w:fldCharType="separate"/>
      </w:r>
      <w:r>
        <w:rPr>
          <w:rFonts w:cs="Arial"/>
          <w:noProof/>
          <w:lang w:val="en-US" w:eastAsia="en-ZA" w:bidi="en-US"/>
        </w:rPr>
        <w:t>[18,19,21,26]</w:t>
      </w:r>
      <w:r>
        <w:rPr>
          <w:rFonts w:cs="Arial"/>
          <w:lang w:val="en-US" w:eastAsia="en-ZA" w:bidi="en-US"/>
        </w:rPr>
        <w:fldChar w:fldCharType="end"/>
      </w:r>
      <w:r>
        <w:rPr>
          <w:rFonts w:cs="Arial"/>
          <w:lang w:val="en-US" w:eastAsia="en-ZA" w:bidi="en-US"/>
        </w:rPr>
        <w:t>. This investigation also considered the RWGS reaction, as the combination of CO</w:t>
      </w:r>
      <w:r>
        <w:rPr>
          <w:rFonts w:cs="Arial"/>
          <w:vertAlign w:val="subscript"/>
          <w:lang w:val="en-US" w:eastAsia="en-ZA" w:bidi="en-US"/>
        </w:rPr>
        <w:t>2</w:t>
      </w:r>
      <w:r>
        <w:rPr>
          <w:rFonts w:cs="Arial"/>
          <w:lang w:val="en-US" w:eastAsia="en-ZA" w:bidi="en-US"/>
        </w:rPr>
        <w:t xml:space="preserve"> and H</w:t>
      </w:r>
      <w:r>
        <w:rPr>
          <w:rFonts w:cs="Arial"/>
          <w:vertAlign w:val="subscript"/>
          <w:lang w:val="en-US" w:eastAsia="en-ZA" w:bidi="en-US"/>
        </w:rPr>
        <w:t>2</w:t>
      </w:r>
      <w:r>
        <w:rPr>
          <w:rFonts w:cs="Arial"/>
          <w:lang w:val="en-US" w:eastAsia="en-ZA" w:bidi="en-US"/>
        </w:rPr>
        <w:t xml:space="preserve"> produces carbon monoxide (CO) as a carbon-containing by-product. The reversible Sabatier and RWGS reactions are given by Eqs. (1 and 2) respectively.</w:t>
      </w:r>
    </w:p>
    <w:p>
      <w:pPr>
        <w:jc w:val="center"/>
        <w:rPr>
          <w:rFonts w:cs="Arial"/>
          <w:lang w:val="en-US" w:eastAsia="en-ZA" w:bidi="en-US"/>
        </w:rPr>
      </w:pPr>
      <m:oMath>
        <m:sSub>
          <m:sSubPr>
            <m:ctrlPr>
              <w:rPr>
                <w:rFonts w:ascii="Cambria Math" w:hAnsi="Cambria Math" w:cs="Arial"/>
                <w:i/>
                <w:lang w:val="en-US" w:eastAsia="en-ZA" w:bidi="en-US"/>
              </w:rPr>
            </m:ctrlPr>
          </m:sSubPr>
          <m:e>
            <m:r>
              <w:rPr>
                <w:rFonts w:ascii="Cambria Math" w:hAnsi="Cambria Math" w:cs="Arial"/>
                <w:lang w:val="en-US" w:eastAsia="en-ZA" w:bidi="en-US"/>
              </w:rPr>
              <m:t>CO</m:t>
            </m:r>
          </m:e>
          <m:sub>
            <m:r>
              <w:rPr>
                <w:rFonts w:ascii="Cambria Math" w:hAnsi="Cambria Math" w:cs="Arial"/>
                <w:lang w:val="en-US" w:eastAsia="en-ZA" w:bidi="en-US"/>
              </w:rPr>
              <m:t>2</m:t>
            </m:r>
          </m:sub>
        </m:sSub>
        <m:r>
          <w:rPr>
            <w:rFonts w:ascii="Cambria Math" w:hAnsi="Cambria Math" w:cs="Arial"/>
            <w:lang w:val="en-US" w:eastAsia="en-ZA" w:bidi="en-US"/>
          </w:rPr>
          <m:t>+4</m:t>
        </m:r>
        <m:sSub>
          <m:sSubPr>
            <m:ctrlPr>
              <w:rPr>
                <w:rFonts w:ascii="Cambria Math" w:hAnsi="Cambria Math" w:cs="Arial"/>
                <w:i/>
                <w:lang w:val="en-US" w:eastAsia="en-ZA" w:bidi="en-US"/>
              </w:rPr>
            </m:ctrlPr>
          </m:sSubPr>
          <m:e>
            <m:r>
              <w:rPr>
                <w:rFonts w:ascii="Cambria Math" w:hAnsi="Cambria Math" w:cs="Arial"/>
                <w:lang w:val="en-US" w:eastAsia="en-ZA" w:bidi="en-US"/>
              </w:rPr>
              <m:t>H</m:t>
            </m:r>
          </m:e>
          <m:sub>
            <m:r>
              <w:rPr>
                <w:rFonts w:ascii="Cambria Math" w:hAnsi="Cambria Math" w:cs="Arial"/>
                <w:lang w:val="en-US" w:eastAsia="en-ZA" w:bidi="en-US"/>
              </w:rPr>
              <m:t>2</m:t>
            </m:r>
          </m:sub>
        </m:sSub>
        <m:r>
          <w:rPr>
            <w:rFonts w:ascii="Cambria Math" w:hAnsi="Cambria Math" w:cs="Arial"/>
            <w:lang w:val="en-US" w:eastAsia="en-ZA" w:bidi="en-US"/>
          </w:rPr>
          <m:t xml:space="preserve"> ↔ </m:t>
        </m:r>
        <m:sSub>
          <m:sSubPr>
            <m:ctrlPr>
              <w:rPr>
                <w:rFonts w:ascii="Cambria Math" w:hAnsi="Cambria Math" w:cs="Arial"/>
                <w:i/>
                <w:lang w:val="en-US" w:eastAsia="en-ZA" w:bidi="en-US"/>
              </w:rPr>
            </m:ctrlPr>
          </m:sSubPr>
          <m:e>
            <m:r>
              <w:rPr>
                <w:rFonts w:ascii="Cambria Math" w:hAnsi="Cambria Math" w:cs="Arial"/>
                <w:lang w:val="en-US" w:eastAsia="en-ZA" w:bidi="en-US"/>
              </w:rPr>
              <m:t>CH</m:t>
            </m:r>
          </m:e>
          <m:sub>
            <m:r>
              <w:rPr>
                <w:rFonts w:ascii="Cambria Math" w:hAnsi="Cambria Math" w:cs="Arial"/>
                <w:lang w:val="en-US" w:eastAsia="en-ZA" w:bidi="en-US"/>
              </w:rPr>
              <m:t>4</m:t>
            </m:r>
          </m:sub>
        </m:sSub>
        <m:r>
          <w:rPr>
            <w:rFonts w:ascii="Cambria Math" w:hAnsi="Cambria Math" w:cs="Arial"/>
            <w:lang w:val="en-US" w:eastAsia="en-ZA" w:bidi="en-US"/>
          </w:rPr>
          <m:t xml:space="preserve">+ </m:t>
        </m:r>
        <m:sSub>
          <m:sSubPr>
            <m:ctrlPr>
              <w:rPr>
                <w:rFonts w:ascii="Cambria Math" w:hAnsi="Cambria Math" w:cs="Arial"/>
                <w:i/>
                <w:lang w:val="en-US" w:eastAsia="en-ZA" w:bidi="en-US"/>
              </w:rPr>
            </m:ctrlPr>
          </m:sSubPr>
          <m:e>
            <m:r>
              <w:rPr>
                <w:rFonts w:ascii="Cambria Math" w:hAnsi="Cambria Math" w:cs="Arial"/>
                <w:lang w:val="en-US" w:eastAsia="en-ZA" w:bidi="en-US"/>
              </w:rPr>
              <m:t>2H</m:t>
            </m:r>
          </m:e>
          <m:sub>
            <m:r>
              <w:rPr>
                <w:rFonts w:ascii="Cambria Math" w:hAnsi="Cambria Math" w:cs="Arial"/>
                <w:lang w:val="en-US" w:eastAsia="en-ZA" w:bidi="en-US"/>
              </w:rPr>
              <m:t>2</m:t>
            </m:r>
          </m:sub>
        </m:sSub>
        <m:r>
          <w:rPr>
            <w:rFonts w:ascii="Cambria Math" w:hAnsi="Cambria Math" w:cs="Arial"/>
            <w:lang w:val="en-US" w:eastAsia="en-ZA" w:bidi="en-US"/>
          </w:rPr>
          <m:t>O</m:t>
        </m:r>
      </m:oMath>
      <w:r>
        <w:rPr>
          <w:lang w:val="en-US" w:eastAsia="en-ZA" w:bidi="en-US"/>
        </w:rPr>
        <w:tab/>
        <w:t>(</w:t>
      </w:r>
      <w:r>
        <w:rPr>
          <w:rFonts w:cs="Arial"/>
          <w:lang w:val="en-US" w:eastAsia="en-ZA" w:bidi="en-US"/>
        </w:rPr>
        <w:t>ΔH</w:t>
      </w:r>
      <w:r>
        <w:rPr>
          <w:rFonts w:cs="Arial"/>
          <w:vertAlign w:val="subscript"/>
          <w:lang w:val="en-US" w:eastAsia="en-ZA" w:bidi="en-US"/>
        </w:rPr>
        <w:t>r</w:t>
      </w:r>
      <w:r>
        <w:rPr>
          <w:rFonts w:cs="Arial"/>
          <w:lang w:val="en-US" w:eastAsia="en-ZA" w:bidi="en-US"/>
        </w:rPr>
        <w:t xml:space="preserve"> = -165 kJ.mol</w:t>
      </w:r>
      <w:r>
        <w:rPr>
          <w:rFonts w:cs="Arial"/>
          <w:vertAlign w:val="superscript"/>
          <w:lang w:val="en-US" w:eastAsia="en-ZA" w:bidi="en-US"/>
        </w:rPr>
        <w:t>-1</w:t>
      </w:r>
      <w:r>
        <w:rPr>
          <w:rFonts w:cs="Arial"/>
          <w:lang w:val="en-US" w:eastAsia="en-ZA" w:bidi="en-US"/>
        </w:rPr>
        <w:t>)……………… (1)</w:t>
      </w:r>
    </w:p>
    <w:p>
      <w:pPr>
        <w:jc w:val="center"/>
        <w:rPr>
          <w:rFonts w:cs="Arial"/>
          <w:lang w:val="en-US" w:eastAsia="en-ZA" w:bidi="en-US"/>
        </w:rPr>
      </w:pPr>
      <m:oMath>
        <m:sSub>
          <m:sSubPr>
            <m:ctrlPr>
              <w:rPr>
                <w:rFonts w:ascii="Cambria Math" w:hAnsi="Cambria Math" w:cs="Arial"/>
                <w:i/>
                <w:lang w:val="en-US" w:eastAsia="en-ZA" w:bidi="en-US"/>
              </w:rPr>
            </m:ctrlPr>
          </m:sSubPr>
          <m:e>
            <m:r>
              <w:rPr>
                <w:rFonts w:ascii="Cambria Math" w:hAnsi="Cambria Math" w:cs="Arial"/>
                <w:lang w:val="en-US" w:eastAsia="en-ZA" w:bidi="en-US"/>
              </w:rPr>
              <m:t>CO</m:t>
            </m:r>
          </m:e>
          <m:sub>
            <m:r>
              <w:rPr>
                <w:rFonts w:ascii="Cambria Math" w:hAnsi="Cambria Math" w:cs="Arial"/>
                <w:lang w:val="en-US" w:eastAsia="en-ZA" w:bidi="en-US"/>
              </w:rPr>
              <m:t>2</m:t>
            </m:r>
          </m:sub>
        </m:sSub>
        <m:r>
          <w:rPr>
            <w:rFonts w:ascii="Cambria Math" w:hAnsi="Cambria Math" w:cs="Arial"/>
            <w:lang w:val="en-US" w:eastAsia="en-ZA" w:bidi="en-US"/>
          </w:rPr>
          <m:t>+</m:t>
        </m:r>
        <m:sSub>
          <m:sSubPr>
            <m:ctrlPr>
              <w:rPr>
                <w:rFonts w:ascii="Cambria Math" w:hAnsi="Cambria Math" w:cs="Arial"/>
                <w:i/>
                <w:lang w:val="en-US" w:eastAsia="en-ZA" w:bidi="en-US"/>
              </w:rPr>
            </m:ctrlPr>
          </m:sSubPr>
          <m:e>
            <m:r>
              <w:rPr>
                <w:rFonts w:ascii="Cambria Math" w:hAnsi="Cambria Math" w:cs="Arial"/>
                <w:lang w:val="en-US" w:eastAsia="en-ZA" w:bidi="en-US"/>
              </w:rPr>
              <m:t>H</m:t>
            </m:r>
          </m:e>
          <m:sub>
            <m:r>
              <w:rPr>
                <w:rFonts w:ascii="Cambria Math" w:hAnsi="Cambria Math" w:cs="Arial"/>
                <w:lang w:val="en-US" w:eastAsia="en-ZA" w:bidi="en-US"/>
              </w:rPr>
              <m:t>2</m:t>
            </m:r>
          </m:sub>
        </m:sSub>
        <m:r>
          <w:rPr>
            <w:rFonts w:ascii="Cambria Math" w:hAnsi="Cambria Math" w:cs="Arial"/>
            <w:lang w:val="en-US" w:eastAsia="en-ZA" w:bidi="en-US"/>
          </w:rPr>
          <m:t xml:space="preserve"> ↔ CO+ </m:t>
        </m:r>
        <m:sSub>
          <m:sSubPr>
            <m:ctrlPr>
              <w:rPr>
                <w:rFonts w:ascii="Cambria Math" w:hAnsi="Cambria Math" w:cs="Arial"/>
                <w:i/>
                <w:lang w:val="en-US" w:eastAsia="en-ZA" w:bidi="en-US"/>
              </w:rPr>
            </m:ctrlPr>
          </m:sSubPr>
          <m:e>
            <m:r>
              <w:rPr>
                <w:rFonts w:ascii="Cambria Math" w:hAnsi="Cambria Math" w:cs="Arial"/>
                <w:lang w:val="en-US" w:eastAsia="en-ZA" w:bidi="en-US"/>
              </w:rPr>
              <m:t>H</m:t>
            </m:r>
          </m:e>
          <m:sub>
            <m:r>
              <w:rPr>
                <w:rFonts w:ascii="Cambria Math" w:hAnsi="Cambria Math" w:cs="Arial"/>
                <w:lang w:val="en-US" w:eastAsia="en-ZA" w:bidi="en-US"/>
              </w:rPr>
              <m:t>2</m:t>
            </m:r>
          </m:sub>
        </m:sSub>
        <m:r>
          <w:rPr>
            <w:rFonts w:ascii="Cambria Math" w:hAnsi="Cambria Math" w:cs="Arial"/>
            <w:lang w:val="en-US" w:eastAsia="en-ZA" w:bidi="en-US"/>
          </w:rPr>
          <m:t>O</m:t>
        </m:r>
      </m:oMath>
      <w:r>
        <w:rPr>
          <w:lang w:val="en-US" w:eastAsia="en-ZA" w:bidi="en-US"/>
        </w:rPr>
        <w:tab/>
        <w:t>(</w:t>
      </w:r>
      <w:r>
        <w:rPr>
          <w:rFonts w:cs="Arial"/>
          <w:lang w:val="en-US" w:eastAsia="en-ZA" w:bidi="en-US"/>
        </w:rPr>
        <w:t>ΔH</w:t>
      </w:r>
      <w:r>
        <w:rPr>
          <w:rFonts w:cs="Arial"/>
          <w:vertAlign w:val="subscript"/>
          <w:lang w:val="en-US" w:eastAsia="en-ZA" w:bidi="en-US"/>
        </w:rPr>
        <w:t>r</w:t>
      </w:r>
      <w:r>
        <w:rPr>
          <w:rFonts w:cs="Arial"/>
          <w:lang w:val="en-US" w:eastAsia="en-ZA" w:bidi="en-US"/>
        </w:rPr>
        <w:t xml:space="preserve"> = +41 kJ.mol</w:t>
      </w:r>
      <w:r>
        <w:rPr>
          <w:rFonts w:cs="Arial"/>
          <w:vertAlign w:val="superscript"/>
          <w:lang w:val="en-US" w:eastAsia="en-ZA" w:bidi="en-US"/>
        </w:rPr>
        <w:t>-1</w:t>
      </w:r>
      <w:r>
        <w:rPr>
          <w:rFonts w:cs="Arial"/>
          <w:lang w:val="en-US" w:eastAsia="en-ZA" w:bidi="en-US"/>
        </w:rPr>
        <w:t>)……………… (2)</w:t>
      </w:r>
    </w:p>
    <w:p>
      <w:pPr>
        <w:spacing w:line="480" w:lineRule="auto"/>
        <w:ind w:firstLine="720"/>
        <w:rPr>
          <w:rFonts w:cs="Arial"/>
          <w:lang w:val="en-US" w:eastAsia="en-ZA" w:bidi="en-US"/>
        </w:rPr>
      </w:pPr>
      <w:r>
        <w:rPr>
          <w:rFonts w:cs="Arial"/>
          <w:lang w:val="en-US" w:eastAsia="en-ZA" w:bidi="en-US"/>
        </w:rPr>
        <w:t xml:space="preserve">Nonetheless, the methanation reaction has often been implemented on a commercial scale using fixed-bed reactors such as the TREMP by Haldor-Topsoe </w:t>
      </w:r>
      <w:r>
        <w:rPr>
          <w:rFonts w:cs="Arial"/>
          <w:lang w:val="en-US" w:eastAsia="en-ZA" w:bidi="en-US"/>
        </w:rPr>
        <w:fldChar w:fldCharType="begin" w:fldLock="1"/>
      </w:r>
      <w:r>
        <w:rPr>
          <w:rFonts w:cs="Arial"/>
          <w:lang w:val="en-US" w:eastAsia="en-ZA" w:bidi="en-US"/>
        </w:rPr>
        <w:instrText>ADDIN CSL_CITATION { "citationItems" : [ { "id" : "ITEM-1", "itemData" : { "DOI" : "10.1186/s13705-014-0029-1", "ISSN" : "2192-0567", "abstract" : "This article presents some crucial findings of the joint research project entitled \u00abStorage of electric energy from renewable sources in the natural gas grid-water electrolysis and synthesis of gas components\u00bb. The project was funded by BMBF and aimed at developing viable concepts for the storage of excess electrical energy from wind and solar power plants. The concept presented in this article suggests the conversion of CO 2 -containing gases into methane in a pressurized reactor using hydrogen produced via electrolysis. The produced gas can be upgraded to synthetic natural gas (SNG) and fed into the well-developed German natural gas grid. This concept benefits from the high storage capacity of the German gas grid and does not require any extensions of the current gas or power grid. The reaction heat released by the exothermic methanation reaction leads to a temperature rise of the gas in the fixed bed catalyst of the reactor. The conversion of carbon dioxide is limited in accordance to the chemical equilibrium which depends strongly on temperature and pressure. For maximum carbon dioxide conversion, it is convenient to split the methanation into several stages adding cooling sections in between. This article focuses on the methanation process and its transfer onto an industrial scale evaluating the different plant capacities and feedstock mixtures used. The methanation takes place in a staged fixed bed reactor. This staged reactor concept is an in-house development based on know-how from the sulfuric acid production technology.", "author" : [ { "dropping-particle" : "", "family" : "Schaaf", "given" : "Tanja", "non-dropping-particle" : "", "parse-names" : false, "suffix" : "" }, { "dropping-particle" : "", "family" : "Gr\u00fcnig", "given" : "Jochen", "non-dropping-particle" : "", "parse-names" : false, "suffix" : "" }, { "dropping-particle" : "", "family" : "Schuster", "given" : "Markus Roman", "non-dropping-particle" : "", "parse-names" : false, "suffix" : "" }, { "dropping-particle" : "", "family" : "Rothenfluh", "given" : "Tobias", "non-dropping-particle" : "", "parse-names" : false, "suffix" : "" }, { "dropping-particle" : "", "family" : "Orth", "given" : "Andreas", "non-dropping-particle" : "", "parse-names" : false, "suffix" : "" } ], "container-title" : "Energy, Sustainability and Society", "id" : "ITEM-1", "issue" : "1", "issued" : { "date-parts" : [ [ "2014" ] ] }, "page" : "1-14", "title" : "Methanation of CO2 - storage of renewable energy in a gas distribution system", "type" : "article-journal", "volume" : "4" }, "uris" : [ "http://www.mendeley.com/documents/?uuid=6d9e6459-c7c8-4ef6-b936-5cd254a18724" ] } ], "mendeley" : { "formattedCitation" : "[3]", "plainTextFormattedCitation" : "[3]", "previouslyFormattedCitation" : "[3]" }, "properties" : { "noteIndex" : 0 }, "schema" : "https://github.com/citation-style-language/schema/raw/master/csl-citation.json" }</w:instrText>
      </w:r>
      <w:r>
        <w:rPr>
          <w:rFonts w:cs="Arial"/>
          <w:lang w:val="en-US" w:eastAsia="en-ZA" w:bidi="en-US"/>
        </w:rPr>
        <w:fldChar w:fldCharType="separate"/>
      </w:r>
      <w:r>
        <w:rPr>
          <w:rFonts w:cs="Arial"/>
          <w:noProof/>
          <w:lang w:val="en-US" w:eastAsia="en-ZA" w:bidi="en-US"/>
        </w:rPr>
        <w:t>[3]</w:t>
      </w:r>
      <w:r>
        <w:rPr>
          <w:rFonts w:cs="Arial"/>
          <w:lang w:val="en-US" w:eastAsia="en-ZA" w:bidi="en-US"/>
        </w:rPr>
        <w:fldChar w:fldCharType="end"/>
      </w:r>
      <w:r>
        <w:rPr>
          <w:rFonts w:cs="Arial"/>
          <w:lang w:val="en-US" w:eastAsia="en-ZA" w:bidi="en-US"/>
        </w:rPr>
        <w:t xml:space="preserve">. However, there are several challenges which prohibit the application of conventional fixed-bed reactors to methanation within the context of P2G. Whilst fixed-bed reactors are designed for continuous operation, power-to-gas demands dynamic intermittent (start-stop) operation so that reactors having fast response times as well as load-following capabilities are vital. In view of this, fixed-bed reactors do not conform to these basic requirements seeing as the cold start-up time and ramp rate are in the order of hours. In addition, the highly-exothermic methanation reaction requires fast and efficient heat removal in order to avoid temperature excursions and catalyst thermal deactivation. Whilst there are various ways to circumvent the high exotherms of the methanation reaction, these are difficult to implement in dynamic operation. There is a need therefore to select a suitable reactor technology to satisfy the operational requirements of P2G. Microchannel reactors exhibit high heat and mass transfer rates owing to their small channels which give rise to small diffusion paths </w:t>
      </w:r>
      <w:r>
        <w:rPr>
          <w:rFonts w:cs="Arial"/>
          <w:lang w:val="en-US" w:eastAsia="en-ZA" w:bidi="en-US"/>
        </w:rPr>
        <w:fldChar w:fldCharType="begin" w:fldLock="1"/>
      </w:r>
      <w:r>
        <w:rPr>
          <w:rFonts w:cs="Arial"/>
          <w:lang w:val="en-US" w:eastAsia="en-ZA" w:bidi="en-US"/>
        </w:rPr>
        <w:instrText>ADDIN CSL_CITATION { "citationItems" : [ { "id" : "ITEM-1", "itemData" : { "DOI" : "10.1016/j.ijhydene.2013.09.067", "ISBN" : "0360-3199", "ISSN" : "03603199", "abstract" : "Hydrogen (H2) fuel obtained via thermo-catalytic ammonia (NH3) decomposition is rapidly attracting considerable interest for portable and distributed power generation systems. Consequently, a variety of reactor technologies are being developed in view of the current lack of infrastructure to generate H2 for proton exchange membrane (PEM) fuel cells. This paper provides an extensive review of the state-of-the-art reactor technology (also referred to as reactor infrastructure) for pure NH3 decomposition. The review strategy is to survey the open literature and present reactor technology developments in a chronological order. The primary objective of this paper is to provide a condensed viewpoint and basis for future advances in reactor technology for generating H2 via NH3 decomposition. Also, this review highlights the prominent issues and prevailing challenges that are yet to be overcome for possible market entry and subsequent commercialization of various reactor technologies. To our knowledge, this work presents for the first time a review of reactor infrastructure for distributed H2 generation via NH3 decomposition. Despite commendable research and development progress, substantial effort is still required if commercialization of NH3 decomposition reactor infrastructure is to be realized. ?? 2013, Hydrogen Energy Publications, LLC. Published by Elsevier Ltd. All rights reserved.", "author" : [ { "dropping-particle" : "", "family" : "Chiuta", "given" : "Steven", "non-dropping-particle" : "", "parse-names" : false, "suffix" : "" }, { "dropping-particle" : "", "family" : "Everson", "given" : "Raymond C.", "non-dropping-particle" : "", "parse-names" : false, "suffix" : "" }, { "dropping-particle" : "", "family" : "Neomagus", "given" : "Hein W J P", "non-dropping-particle" : "", "parse-names" : false, "suffix" : "" }, { "dropping-particle" : "", "family" : "Gryp", "given" : "Percy", "non-dropping-particle" : "Van Der", "parse-names" : false, "suffix" : "" }, { "dropping-particle" : "", "family" : "Bessarabov", "given" : "Dmitri G.", "non-dropping-particle" : "", "parse-names" : false, "suffix" : "" } ], "container-title" : "International Journal of Hydrogen Energy", "id" : "ITEM-1", "issue" : "35", "issued" : { "date-parts" : [ [ "2013" ] ] }, "page" : "14968-14991", "publisher" : "Elsevier Ltd", "title" : "Reactor technology options for distributed hydrogen generation via ammonia decomposition: A review", "type" : "article-journal", "volume" : "38" }, "uris" : [ "http://www.mendeley.com/documents/?uuid=f518b928-e26b-45e8-bdf8-19ace298fa6a" ] }, { "id" : "ITEM-2", "itemData" : { "DOI" : "10.1002/9783527631445", "ISBN" : "9783527315505", "abstract" : "This three-volume handbook provides an overview of the key aspects of micro process engineering. Volume 1 covers the fundamentals, operations and catalysts, volume 2 examines devices, reactions and applications, with volume 3 rounding off the trilogy with system, process and plant engineering. Fluid dynamics, mixing, heat/mass transfer, purification and separation microstructured devices and microstructured reactors are explained in the first volume. Volume 2 segments microreactor design, fabrication and assembly, bulk and fine chemistry, polymerisation, fuel processing and functional materials into understandable parts. The final volume of the handbook addresses microreactor systems design and scale-up, sensing, analysis and control, chemical process engineering, economic and eco-efficiency analyses as well as microreactor plant case studies in one book. Together, this 3-volume handbook explains the science behind micro process engineering to the scale-up and their real life industrial applications. \u00a9 2009 Wiley-VCH Verlag GmbH &amp; Co. KGaA.", "author" : [ { "dropping-particle" : "", "family" : "Hessel", "given" : "Volker", "non-dropping-particle" : "", "parse-names" : false, "suffix" : "" }, { "dropping-particle" : "", "family" : "Renken", "given" : "Albert", "non-dropping-particle" : "", "parse-names" : false, "suffix" : "" }, { "dropping-particle" : "", "family" : "Schouten", "given" : "Jaap C.", "non-dropping-particle" : "", "parse-names" : false, "suffix" : "" }, { "dropping-particle" : "", "family" : "Yoshida", "given" : "Jun Ichi", "non-dropping-particle" : "", "parse-names" : false, "suffix" : "" } ], "container-title" : "Micro Process Engineering: A Comprehensive Handbook", "id" : "ITEM-2", "issued" : { "date-parts" : [ [ "2013" ] ] }, "title" : "Micro Process Engineering: A Comprehensive Handbook", "type" : "book", "volume" : "1" }, "uris" : [ "http://www.mendeley.com/documents/?uuid=5f89a550-3179-4bc8-8685-5db11e9d96f0" ] }, { "id" : "ITEM-3", "itemData" : { "DOI" : "10.1021/cr020721b", "ISBN" : "0009-2665", "ISSN" : "00092665", "PMID" : "15669168", "abstract" : "Technology advancements over time have enabled developments in electronics to move us into a micro-electronics age. Remarkable achievements have in- creased functionality while making devices smaller. Each decrease in device size has resulted in greater quality and efficiency. However, as new functional- ities are added, power consumption rises alarmingly. Until recently, primary and secondary batteries have been the sole autonomous energy storage solution for these devices, but new and innovative approaches, ranging from microscale rotary engines to thermal electric generators implanted in microscale com- bustors,1-6 are laying the groundwork for alternative technologies that generate electric power from hy- drocarbon fuels. One innovative way to utilize the stored energy in hydrocarbon fuels is to strip the hydrogen from its compounds and feed it to a fuel cell, producing electricity. Fuel cell efficiencies and power densities are in- creasing, while costs are decreasing, making them a potentially attractive power supply.7-9 Polymer elec- trolyte membrane fuel cells (PEMFCs) have been proposed as battery replacements and for use in hybrid fuel cell battery systems to augment the batterys energy density.7-10 However, nontrivial challenges for PEMFCs include hydrogen storage, safety, and water and thermal management.7,10 One way to avoid the hydrogen storage problem is to produce hydrogen on demand using miniature reac- tors. These reactors often have characteristic dimen- sions, such as channel gaps, which are on the microscale (typically &lt; 1000 \u00b5m) or mesoscale (1000 \u00b5m to a few centimeters) and will be referred to in this article as microreactors. These features are significantly smaller than many conventional reac- tors (a few inches or more), and they can significantly enhance mass and heat transfer rates. Operating on demand, microreactors liberate the hydrogen from hydrogen containing feedstocks such as hydrocar- bons, ammonia, or chemical hydrides, as needed, to power the fuel cell. Over the last 30 years, pioneering and follow-up studies have resulted in new concepts and designs for microreactor applications. This paper reviews the progress in microreactor development focused on fuel cell based power supplies ranging from &lt;1Wto several hundred watts. The discussion first covers reactor types, fabrication and design, and hydrogen production techniques, and then it de- scribes microreactor performance for a wide range of devices.", "author" : [ { "dropping-particle" : "", "family" : "Holladay", "given" : "Jamelyn D.", "non-dropping-particle" : "", "parse-names" : false, "suffix" : "" }, { "dropping-particle" : "", "family" : "Wang", "given" : "Yong", "non-dropping-particle" : "", "parse-names" : false, "suffix" : "" }, { "dropping-particle" : "", "family" : "Jones", "given" : "Evan", "non-dropping-particle" : "", "parse-names" : false, "suffix" : "" } ], "container-title" : "Chemical Reviews", "id" : "ITEM-3", "issue" : "10", "issued" : { "date-parts" : [ [ "2004" ] ] }, "page" : "4767-4789", "title" : "Review of developments in portable hydrogen production using microreactor technology", "type" : "article-journal", "volume" : "104" }, "uris" : [ "http://www.mendeley.com/documents/?uuid=88bd53fa-2bef-4dfe-83e0-423c59942e17" ] }, { "id" : "ITEM-4", "itemData" : { "DOI" : "10.1016/S0009-2509(00)00230-X", "ISBN" : "00092509", "ISSN" : "00092509", "PMID" : "1241", "abstract" : "Microfabrication techniques are increasingly used in different fields of chemistry to realize structures with capabilities exceeding those of conventional macroscopic systems. In addition to already demonstrated chemical and biological analysis applications, microfabricated chemical systems are expected to have a number of advantages for chemical synthesis, chemical kinetics studies, and process development. Chemical processing advantages from increased heat and mass transfer in small dimensions are demonstrated with model gas, liquid, and multiphase reaction systems. These case studies also serve to illustrate benefits of integrating sensors for flow, temperature, and chemical composition with microfluidic reaction and control components. The role of reaction engineering in the development of microreaction technology is described along with new approaches to scale up based upon replication of microchemical devices.", "author" : [ { "dropping-particle" : "", "family" : "Jensen", "given" : "Klavs F.", "non-dropping-particle" : "", "parse-names" : false, "suffix" : "" } ], "container-title" : "Chemical Engineering Science", "id" : "ITEM-4", "issue" : "2", "issued" : { "date-parts" : [ [ "2001" ] ] }, "page" : "293-303", "title" : "Microreaction Engineering - Is Small Better?", "type" : "article-journal", "volume" : "56" }, "uris" : [ "http://www.mendeley.com/documents/?uuid=b4de5200-cf36-478c-8c81-88e252f70f70" ] } ], "mendeley" : { "formattedCitation" : "[30\u201333]", "plainTextFormattedCitation" : "[30\u201333]", "previouslyFormattedCitation" : "[30\u201333]" }, "properties" : { "noteIndex" : 0 }, "schema" : "https://github.com/citation-style-language/schema/raw/master/csl-citation.json" }</w:instrText>
      </w:r>
      <w:r>
        <w:rPr>
          <w:rFonts w:cs="Arial"/>
          <w:lang w:val="en-US" w:eastAsia="en-ZA" w:bidi="en-US"/>
        </w:rPr>
        <w:fldChar w:fldCharType="separate"/>
      </w:r>
      <w:r>
        <w:rPr>
          <w:rFonts w:cs="Arial"/>
          <w:noProof/>
          <w:lang w:val="en-US" w:eastAsia="en-ZA" w:bidi="en-US"/>
        </w:rPr>
        <w:t>[30–33]</w:t>
      </w:r>
      <w:r>
        <w:rPr>
          <w:rFonts w:cs="Arial"/>
          <w:lang w:val="en-US" w:eastAsia="en-ZA" w:bidi="en-US"/>
        </w:rPr>
        <w:fldChar w:fldCharType="end"/>
      </w:r>
      <w:r>
        <w:rPr>
          <w:rFonts w:cs="Arial"/>
          <w:lang w:val="en-US" w:eastAsia="en-ZA" w:bidi="en-US"/>
        </w:rPr>
        <w:t xml:space="preserve">. So, in the context of P2G, microchannel reactors are most likely to offer enhanced performance through improved heat management, better catalyst utilization and fast response times. </w:t>
      </w:r>
    </w:p>
    <w:p>
      <w:pPr>
        <w:spacing w:line="480" w:lineRule="auto"/>
        <w:ind w:firstLine="720"/>
        <w:rPr>
          <w:rFonts w:cs="Arial"/>
          <w:lang w:val="en-US" w:eastAsia="en-ZA" w:bidi="en-US"/>
        </w:rPr>
      </w:pPr>
      <w:r>
        <w:rPr>
          <w:rFonts w:cs="Arial"/>
          <w:lang w:val="en-US" w:eastAsia="en-ZA" w:bidi="en-US"/>
        </w:rPr>
        <w:t xml:space="preserve">Brooks et al. </w:t>
      </w:r>
      <w:r>
        <w:rPr>
          <w:rFonts w:cs="Arial"/>
          <w:lang w:val="en-US" w:eastAsia="en-ZA" w:bidi="en-US"/>
        </w:rPr>
        <w:fldChar w:fldCharType="begin" w:fldLock="1"/>
      </w:r>
      <w:r>
        <w:rPr>
          <w:rFonts w:cs="Arial"/>
          <w:lang w:val="en-US" w:eastAsia="en-ZA" w:bidi="en-US"/>
        </w:rPr>
        <w:instrText>ADDIN CSL_CITATION { "citationItems" : [ { "id" : "ITEM-1", "itemData" : { "DOI" : "10.1016/j.ces.2006.11.020", "ISBN" : "0009-2509", "ISSN" : "00092509", "abstract" : "This paper describes the development of a microchannel-based Sabatier reactor for applications such as propellant production on Mars or space habitat air revitalization. Microchannel designs offer advantages for a compact reactor with excellent thermal control. This paper discusses the development of a Ru - TiO\n                        2-based catalyst using powdered form and its application and testing in a microchannel reactor. The resultant catalyst and microchannel reactor demonstrates good conversion, selectivity, and longevity in a compact device. A chemically reacting flow model is used to assist experimental interpretation and to suggest microchannel design approaches. A kinetic rate expression for the global Sabatier reaction is developed and validated using computational models to interpret packed-bed experiments with catalysts in powder form. The resulting global reaction is then incorporated into a reactive plug-flow model that represents a microchannel reactor. ?? 2006 Elsevier Ltd. All rights reserved.", "author" : [ { "dropping-particle" : "", "family" : "Brooks", "given" : "Kriston P.", "non-dropping-particle" : "", "parse-names" : false, "suffix" : "" }, { "dropping-particle" : "", "family" : "Hu", "given" : "Jianli", "non-dropping-particle" : "", "parse-names" : false, "suffix" : "" }, { "dropping-particle" : "", "family" : "Zhu", "given" : "Huayang", "non-dropping-particle" : "", "parse-names" : false, "suffix" : "" }, { "dropping-particle" : "", "family" : "Kee", "given" : "Robert J.", "non-dropping-particle" : "", "parse-names" : false, "suffix" : "" } ], "container-title" : "Chemical Engineering Science", "id" : "ITEM-1", "issue" : "4", "issued" : { "date-parts" : [ [ "2007" ] ] }, "page" : "1161-1170", "title" : "Methanation of carbon dioxide by hydrogen reduction using the Sabatier process in microchannel reactors", "type" : "article-journal", "volume" : "62" }, "uris" : [ "http://www.mendeley.com/documents/?uuid=449624af-9fe8-4f75-a7c7-343f5609ca9b" ] } ], "mendeley" : { "formattedCitation" : "[18]", "plainTextFormattedCitation" : "[18]", "previouslyFormattedCitation" : "[18]" }, "properties" : { "noteIndex" : 0 }, "schema" : "https://github.com/citation-style-language/schema/raw/master/csl-citation.json" }</w:instrText>
      </w:r>
      <w:r>
        <w:rPr>
          <w:rFonts w:cs="Arial"/>
          <w:lang w:val="en-US" w:eastAsia="en-ZA" w:bidi="en-US"/>
        </w:rPr>
        <w:fldChar w:fldCharType="separate"/>
      </w:r>
      <w:r>
        <w:rPr>
          <w:rFonts w:cs="Arial"/>
          <w:noProof/>
          <w:lang w:val="en-US" w:eastAsia="en-ZA" w:bidi="en-US"/>
        </w:rPr>
        <w:t>[18]</w:t>
      </w:r>
      <w:r>
        <w:rPr>
          <w:rFonts w:cs="Arial"/>
          <w:lang w:val="en-US" w:eastAsia="en-ZA" w:bidi="en-US"/>
        </w:rPr>
        <w:fldChar w:fldCharType="end"/>
      </w:r>
      <w:r>
        <w:rPr>
          <w:rFonts w:cs="Arial"/>
          <w:lang w:val="en-US" w:eastAsia="en-ZA" w:bidi="en-US"/>
        </w:rPr>
        <w:t xml:space="preserve"> demonstrated the Sabatier reaction only at atmospheric pressure in a microchannel plate heat exchanger using pure CO</w:t>
      </w:r>
      <w:r>
        <w:rPr>
          <w:rFonts w:cs="Arial"/>
          <w:vertAlign w:val="subscript"/>
          <w:lang w:val="en-US" w:eastAsia="en-ZA" w:bidi="en-US"/>
        </w:rPr>
        <w:t>2</w:t>
      </w:r>
      <w:r>
        <w:rPr>
          <w:rFonts w:cs="Arial"/>
          <w:lang w:val="en-US" w:eastAsia="en-ZA" w:bidi="en-US"/>
        </w:rPr>
        <w:t xml:space="preserve"> as the feedstock. In addition, a one-dimensional reactive plug-flow model was used in their work to interpret their experimental </w:t>
      </w:r>
      <w:r>
        <w:rPr>
          <w:rFonts w:cs="Arial"/>
          <w:lang w:val="en-US" w:eastAsia="en-ZA" w:bidi="en-US"/>
        </w:rPr>
        <w:lastRenderedPageBreak/>
        <w:t xml:space="preserve">data. Chiuta et al. </w:t>
      </w:r>
      <w:r>
        <w:rPr>
          <w:rFonts w:cs="Arial"/>
          <w:lang w:val="en-US" w:eastAsia="en-ZA" w:bidi="en-US"/>
        </w:rPr>
        <w:fldChar w:fldCharType="begin" w:fldLock="1"/>
      </w:r>
      <w:r>
        <w:rPr>
          <w:rFonts w:cs="Arial"/>
          <w:lang w:val="en-US" w:eastAsia="en-ZA" w:bidi="en-US"/>
        </w:rPr>
        <w:instrText>ADDIN CSL_CITATION { "citationItems" : [ { "id" : "ITEM-1", "itemData" : { "DOI" : "10.1016/j.ijhydene.2014.05.146", "ISBN" : "03603199", "ISSN" : "03603199", "abstract" : "Hydrogen production from an ammonia-fuelled microchannel reactor is simulated in a three-dimensional (3D) model implemented via Comsol Multiphysics???. The work described in this paper endeavours to obtain a mathematical framework that provides an understanding of reaction-coupled transport phenomena within the microchannel reactor. The transport processes and reactor performance are elucidated in terms of velocity, temperature, and species concentration distributions, as well as local reaction rate and NH 3 conversion profiles. The baseline case is first investigated to comprehend the behaviour of the microchannel reactor, then microstructural design and operating parameters are methodically altered around the baseline conditions to explore the optimum values. The simulation results show that an optimum NH3 space velocity (GHSV) of 65,000 Nml gcat -1 h-1 yields 99.1% NH3 conversion and a power density of 32 kWe L-1 at the highest operating temperature of 973 K. It is also shown that a 40-??m-thick porous washcoat is most desirable at these optimum conditions. Finally, a low channel hydraulic diameter (225 ??m) is observed to contribute to high NH3 conversion. Mass transport limitations in the porous-washcoat and gas-phase are negligible as depicted by the Damk??hler and Fourier numbers, respectively. The experimental microchannel reactor yields 98.2% NH3 conversion and a power density of 30.8 kWe L-1 when tested at the optimum operating conditions established by the model. Good agreement with experimental data is observed, so the integrated experimental-modelling approach developed in this paper may well provide an incisive step toward the efficient design of ammonia-fuelled microchannel reformers. Copyright ?? 2014, Hydrogen Energy Publications, LLC. Published by Elsevier Ltd. All rights reserved.", "author" : [ { "dropping-particle" : "", "family" : "Chiuta", "given" : "Steven", "non-dropping-particle" : "", "parse-names" : false, "suffix" : "" }, { "dropping-particle" : "", "family" : "Everson", "given" : "Raymond C.", "non-dropping-particle" : "", "parse-names" : false, "suffix" : "" }, { "dropping-particle" : "", "family" : "Neomagus", "given" : "Hein W J P", "non-dropping-particle" : "", "parse-names" : false, "suffix" : "" }, { "dropping-particle" : "", "family" : "Grange", "given" : "Louis A.", "non-dropping-particle" : "Le", "parse-names" : false, "suffix" : "" }, { "dropping-particle" : "", "family" : "Bessarabov", "given" : "Dmitri G.", "non-dropping-particle" : "", "parse-names" : false, "suffix" : "" } ], "container-title" : "International Journal of Hydrogen Energy", "id" : "ITEM-1", "issue" : "22", "issued" : { "date-parts" : [ [ "2014" ] ] }, "page" : "11390-11402", "publisher" : "Elsevier Ltd", "title" : "A modelling evaluation of an ammonia-fuelled microchannel reformer for hydrogen generation", "type" : "article-journal", "volume" : "39" }, "uris" : [ "http://www.mendeley.com/documents/?uuid=8c82eb68-c516-4bba-939a-d0f0878b2e5a" ] } ], "mendeley" : { "formattedCitation" : "[34]", "plainTextFormattedCitation" : "[34]", "previouslyFormattedCitation" : "[34]" }, "properties" : { "noteIndex" : 0 }, "schema" : "https://github.com/citation-style-language/schema/raw/master/csl-citation.json" }</w:instrText>
      </w:r>
      <w:r>
        <w:rPr>
          <w:rFonts w:cs="Arial"/>
          <w:lang w:val="en-US" w:eastAsia="en-ZA" w:bidi="en-US"/>
        </w:rPr>
        <w:fldChar w:fldCharType="separate"/>
      </w:r>
      <w:r>
        <w:rPr>
          <w:rFonts w:cs="Arial"/>
          <w:noProof/>
          <w:lang w:val="en-US" w:eastAsia="en-ZA" w:bidi="en-US"/>
        </w:rPr>
        <w:t>[34]</w:t>
      </w:r>
      <w:r>
        <w:rPr>
          <w:rFonts w:cs="Arial"/>
          <w:lang w:val="en-US" w:eastAsia="en-ZA" w:bidi="en-US"/>
        </w:rPr>
        <w:fldChar w:fldCharType="end"/>
      </w:r>
      <w:r>
        <w:rPr>
          <w:rFonts w:cs="Arial"/>
          <w:lang w:val="en-US" w:eastAsia="en-ZA" w:bidi="en-US"/>
        </w:rPr>
        <w:t xml:space="preserve"> showed that the flow condition within the porous washcoat and particularly at the inlet zone deviated from plug flow. VanderWiel et al. </w:t>
      </w:r>
      <w:r>
        <w:rPr>
          <w:rFonts w:cs="Arial"/>
          <w:lang w:val="en-US" w:eastAsia="en-ZA" w:bidi="en-US"/>
        </w:rPr>
        <w:fldChar w:fldCharType="begin" w:fldLock="1"/>
      </w:r>
      <w:r>
        <w:rPr>
          <w:rFonts w:cs="Arial"/>
          <w:lang w:val="en-US" w:eastAsia="en-ZA" w:bidi="en-US"/>
        </w:rPr>
        <w:instrText>ADDIN CSL_CITATION { "citationItems" : [ { "id" : "ITEM-1", "itemData" : { "author" : [ { "dropping-particle" : "", "family" : "Vanderwiel", "given" : "D P", "non-dropping-particle" : "", "parse-names" : false, "suffix" : "" }, { "dropping-particle" : "", "family" : "Wang", "given" : "Y", "non-dropping-particle" : "", "parse-names" : false, "suffix" : "" }, { "dropping-particle" : "", "family" : "Tonkovich", "given" : "a Y", "non-dropping-particle" : "", "parse-names" : false, "suffix" : "" }, { "dropping-particle" : "", "family" : "Wegeng", "given" : "R S", "non-dropping-particle" : "", "parse-names" : false, "suffix" : "" }, { "dropping-particle" : "", "family" : "Box", "given" : "P O", "non-dropping-particle" : "", "parse-names" : false, "suffix" : "" }, { "dropping-particle" : "", "family" : "K-", "given" : "Msin", "non-dropping-particle" : "", "parse-names" : false, "suffix" : "" } ], "container-title" : "IMRET 4: Proceedings of the 4th International Conference on Microreaction Technology, Topical Conference Proceedings, AIChE Spring National Meeting, March 5-9, 2000 Atlanta, GA", "id" : "ITEM-1", "issue" : "2", "issued" : { "date-parts" : [ [ "0" ] ] }, "page" : "187-193", "title" : "Carbon Dioxide Conversions in Microreactors", "type" : "article-journal" }, "uris" : [ "http://www.mendeley.com/documents/?uuid=f61e849a-5d4c-40e9-875e-254fb8be9d79" ] } ], "mendeley" : { "formattedCitation" : "[24]", "plainTextFormattedCitation" : "[24]", "previouslyFormattedCitation" : "[24]" }, "properties" : { "noteIndex" : 0 }, "schema" : "https://github.com/citation-style-language/schema/raw/master/csl-citation.json" }</w:instrText>
      </w:r>
      <w:r>
        <w:rPr>
          <w:rFonts w:cs="Arial"/>
          <w:lang w:val="en-US" w:eastAsia="en-ZA" w:bidi="en-US"/>
        </w:rPr>
        <w:fldChar w:fldCharType="separate"/>
      </w:r>
      <w:r>
        <w:rPr>
          <w:rFonts w:cs="Arial"/>
          <w:noProof/>
          <w:lang w:val="en-US" w:eastAsia="en-ZA" w:bidi="en-US"/>
        </w:rPr>
        <w:t>[24]</w:t>
      </w:r>
      <w:r>
        <w:rPr>
          <w:rFonts w:cs="Arial"/>
          <w:lang w:val="en-US" w:eastAsia="en-ZA" w:bidi="en-US"/>
        </w:rPr>
        <w:fldChar w:fldCharType="end"/>
      </w:r>
      <w:r>
        <w:rPr>
          <w:rFonts w:cs="Arial"/>
          <w:lang w:val="en-US" w:eastAsia="en-ZA" w:bidi="en-US"/>
        </w:rPr>
        <w:t xml:space="preserve"> investigated the Sabatier methanation in a packed-bed microreactor to convert atmospheric CO</w:t>
      </w:r>
      <w:r>
        <w:rPr>
          <w:rFonts w:cs="Arial"/>
          <w:vertAlign w:val="subscript"/>
          <w:lang w:val="en-US" w:eastAsia="en-ZA" w:bidi="en-US"/>
        </w:rPr>
        <w:t>2</w:t>
      </w:r>
      <w:r>
        <w:rPr>
          <w:rFonts w:cs="Arial"/>
          <w:lang w:val="en-US" w:eastAsia="en-ZA" w:bidi="en-US"/>
        </w:rPr>
        <w:t xml:space="preserve"> to fuels during manned missions to Mars. Several other studies </w:t>
      </w:r>
      <w:r>
        <w:rPr>
          <w:rFonts w:cs="Arial"/>
          <w:lang w:val="en-US" w:eastAsia="en-ZA" w:bidi="en-US"/>
        </w:rPr>
        <w:fldChar w:fldCharType="begin" w:fldLock="1"/>
      </w:r>
      <w:r>
        <w:rPr>
          <w:rFonts w:cs="Arial"/>
          <w:lang w:val="en-US" w:eastAsia="en-ZA" w:bidi="en-US"/>
        </w:rPr>
        <w:instrText>ADDIN CSL_CITATION { "citationItems" : [ { "id" : "ITEM-1", "itemData" : { "DOI" : "10.1016/j.cej.2010.09.086", "ISSN" : "13858947", "abstract" : "The present paper deals with the study on complete removal of CO in H2-rich gas stream through CO-SMET over Ru-based catalysts supported on ??-Al2O3 and CeO2 carriers. All the catalysts, loaded with 3% Ru, were prepared by a conventional impregnation method and their CO removal performance was determined at the powder level in a fixed bed micro reactor. The 3% Ru-??Al2O3 catalyst showed the best performance; consequently, it was deposited on microchannel metal plates reactor. With a catalyst load on the microchannel plates of 5mgcm-2 the performance was poor as complete CO conversion was not reached and also CO2 methanation was present. Increasing Ru load to 5%, the performance further worsened, the CO conversion decreased and higher amount of methane was produced.The catalytic activity on microchannel metal plates reactor was improved with the 3% Ru-??Al2O3 catalyst by doubling the its load on the surface (10mgcm-2): the residual CO concentration decreased to about 100-150ppmv at 310??C, but a large amount of methane was formed also by the CO2 methanation, thus reducing catalyst selectivity. ?? 2010 Elsevier B.V.", "author" : [ { "dropping-particle" : "", "family" : "Galletti", "given" : "C.", "non-dropping-particle" : "", "parse-names" : false, "suffix" : "" }, { "dropping-particle" : "", "family" : "Specchia", "given" : "S.", "non-dropping-particle" : "", "parse-names" : false, "suffix" : "" }, { "dropping-particle" : "", "family" : "Specchia", "given" : "V.", "non-dropping-particle" : "", "parse-names" : false, "suffix" : "" } ], "container-title" : "Chemical Engineering Journal", "id" : "ITEM-1", "issue" : "2-3", "issued" : { "date-parts" : [ [ "2011" ] ] }, "page" : "616-621", "publisher" : "Elsevier B.V.", "title" : "CO selective methanation in H2-rich gas for fuel cell application: Microchannel reactor performance with Ru-based catalysts", "type" : "article-journal", "volume" : "167" }, "uris" : [ "http://www.mendeley.com/documents/?uuid=fa3ba009-b3ff-4c27-ae03-d0583df5e8cb" ] }, { "id" : "ITEM-2", "itemData" : { "DOI" : "10.1016/j.fuel.2011.12.045", "ISBN" : "0016-2361", "ISSN" : "00162361", "abstract" : "Methanation reaction from syngas to synthetic natural gas (SNG) has been successfully implemented over Ni catalyst in a micro-channel reactor with high conversion and selectivity in milliseconds contact time. A new method called improved thermal spray to manufacture the metal-ceramics complex substrate as catalyst support was presented. The substrate demonstrated dual functions, i.e., the superior heat conduction as metal and stable catalyst coating on it as ceramics (e.g., Al 2O 3). The experiments verified that the fall-off proportion of the catalyst can be neglected after the plates experienced methanation reaction and strong vibration in ultrasonic cleaner. Meanwhile, the catalyst coatings on the walls of micro-channel reactor showed high activity and stability, having the excellent catalytic performance for methanation reaction in micro-channel reactors and the reliability in long-term use as well. At the temperature of 550\u00b0C and the pressure of 30 atm, CO conversion and CH 4 selectivity can remain above 98% and 92%, respectively, at a high GHSV of 71,000 h -1, where the corresponding residence time is only about 50 ms. Extensive characterizations of these Ni catalyst plates were also made to get a better understanding of the catalytic performance. The results of XRD, SEM, TEM and TPR characterizations demonstrated that Ni catalysts prepared in this work did not show any sign of deactivation after being used in the micro-channel system. It is expected that the methanation reactor technique based on the metal-ceramics complex substrate as the catalyst support in (micro-)channel reactors would open opportunities for the reliable engineering applications of either distributed or mass production of SNG from syngas. \u00a9 2012 Elsevier Ltd. All rights reserved.", "author" : [ { "dropping-particle" : "", "family" : "Liu", "given" : "Zhihong", "non-dropping-particle" : "", "parse-names" : false, "suffix" : "" }, { "dropping-particle" : "", "family" : "Chu", "given" : "Bozhao", "non-dropping-particle" : "", "parse-names" : false, "suffix" : "" }, { "dropping-particle" : "", "family" : "Zhai", "given" : "Xuli", "non-dropping-particle" : "", "parse-names" : false, "suffix" : "" }, { "dropping-particle" : "", "family" : "Jin", "given" : "Yong", "non-dropping-particle" : "", "parse-names" : false, "suffix" : "" }, { "dropping-particle" : "", "family" : "Cheng", "given" : "Yi", "non-dropping-particle" : "", "parse-names" : false, "suffix" : "" } ], "container-title" : "Fuel", "id" : "ITEM-2", "issued" : { "date-parts" : [ [ "2012" ] ] }, "page" : "599-605", "publisher" : "Elsevier Ltd", "title" : "Total methanation of syngas to synthetic natural gas over Ni catalyst in a micro-channel reactor", "type" : "article-journal", "volume" : "95" }, "uris" : [ "http://www.mendeley.com/documents/?uuid=1e886ce8-18c7-4af4-bc68-5973f4f1538f" ] } ], "mendeley" : { "formattedCitation" : "[35,36]", "plainTextFormattedCitation" : "[35,36]", "previouslyFormattedCitation" : "[35,36]" }, "properties" : { "noteIndex" : 0 }, "schema" : "https://github.com/citation-style-language/schema/raw/master/csl-citation.json" }</w:instrText>
      </w:r>
      <w:r>
        <w:rPr>
          <w:rFonts w:cs="Arial"/>
          <w:lang w:val="en-US" w:eastAsia="en-ZA" w:bidi="en-US"/>
        </w:rPr>
        <w:fldChar w:fldCharType="separate"/>
      </w:r>
      <w:r>
        <w:rPr>
          <w:rFonts w:cs="Arial"/>
          <w:noProof/>
          <w:lang w:val="en-US" w:eastAsia="en-ZA" w:bidi="en-US"/>
        </w:rPr>
        <w:t>[35,36]</w:t>
      </w:r>
      <w:r>
        <w:rPr>
          <w:rFonts w:cs="Arial"/>
          <w:lang w:val="en-US" w:eastAsia="en-ZA" w:bidi="en-US"/>
        </w:rPr>
        <w:fldChar w:fldCharType="end"/>
      </w:r>
      <w:r>
        <w:rPr>
          <w:rFonts w:cs="Arial"/>
          <w:lang w:val="en-US" w:eastAsia="en-ZA" w:bidi="en-US"/>
        </w:rPr>
        <w:t xml:space="preserve"> have demonstrated CO methanation in microchannel reactors, but these works are irrelevant to this investigation. Yet other studies </w:t>
      </w:r>
      <w:r>
        <w:rPr>
          <w:rFonts w:cs="Arial"/>
          <w:lang w:val="en-US" w:eastAsia="en-ZA" w:bidi="en-US"/>
        </w:rPr>
        <w:fldChar w:fldCharType="begin" w:fldLock="1"/>
      </w:r>
      <w:r>
        <w:rPr>
          <w:rFonts w:cs="Arial"/>
          <w:lang w:val="en-US" w:eastAsia="en-ZA" w:bidi="en-US"/>
        </w:rPr>
        <w:instrText>ADDIN CSL_CITATION { "citationItems" : [ { "id" : "ITEM-1", "itemData" : { "DOI" : "10.1016/j.cattod.2007.02.017", "ISSN" : "09205861", "abstract" : "Selective removal of CO by methanation of carbon oxides has been performed over wash-coated supported metal catalysts in a microchannel reactor with simulated reformate feeding. The primary screening over a series of Ru and Ni-based catalysts shows that methanation activity is markedly dependent on the type of metal, the metal loadings and the promoter. Ni/CaO/Al2O3 catalyst exhibits the highest methanation activity with CO conversion higher than 93% and a relatively low conversion of CO2 into methane among investigated catalysts at 300 ??C under the operating condition. The appropriate temperature for selective methanation was identified to be 250 ??C below which CO methanation preferentially and exclusively occurs. The effect of reaction temperature and gas additives such as steam and gaseous oxygen on the methanation performance is presented in terms of catalytic activity, selectivity, and methane yield. The regulation of carbon oxides methanation on Ni/CaO/Al2O3 catalyst by gaseous oxygen was realized by a switchover of the reaction pathway from combustion reaction in the presence of gas phase oxygen to the methanation upon the complete consumption of oxygen and the dynamic behaviour of catalyst surface induced by the interplay of the catalyst surface and the gas phase reactants. ?? 2007 Elsevier B.V. All rights reserved.", "author" : [ { "dropping-particle" : "", "family" : "Men", "given" : "Yong", "non-dropping-particle" : "", "parse-names" : false, "suffix" : "" }, { "dropping-particle" : "", "family" : "Kolb", "given" : "Gunther", "non-dropping-particle" : "", "parse-names" : false, "suffix" : "" }, { "dropping-particle" : "", "family" : "Zapf", "given" : "Ralf", "non-dropping-particle" : "", "parse-names" : false, "suffix" : "" }, { "dropping-particle" : "", "family" : "Hessel", "given" : "Volker", "non-dropping-particle" : "", "parse-names" : false, "suffix" : "" }, { "dropping-particle" : "", "family" : "L??we", "given" : "Holger", "non-dropping-particle" : "", "parse-names" : false, "suffix" : "" } ], "container-title" : "Catalysis Today", "id" : "ITEM-1", "issue" : "1-2", "issued" : { "date-parts" : [ [ "2007" ] ] }, "page" : "81-87", "title" : "Selective methanation of carbon oxides in a microchannel reactor-Primary screening and impact of gas additives", "type" : "article-journal", "volume" : "125" }, "uris" : [ "http://www.mendeley.com/documents/?uuid=554b3c3b-fb01-4f74-bb4b-7da2887dd620" ] }, { "id" : "ITEM-2", "itemData" : { "DOI" : "10.1016/j.cattod.2005.09.009", "ISBN" : "0920-5861", "ISSN" : "09205861", "abstract" : "The successful application of a microchannel reactor to reduce the CO content by methanation in a model gas mixture containing CO, CO\n                        2, O\n                        2 and H\n                        2 can be shown. Microchannels coated with a Ru/SiO\n                        2 and a Ru/Al\n                        2O\n                        3 catalyst were used at standard residence times of about 300 ms. The methanation allowed to remove CO almost completely from the gas flow at a temperature of 300 \u00b0C using a Ru/SiO\n                        2 catalyst. Although oxygen was added to the feed, the CH \n                        4-selectivity was still 95% at temperatures of 350 \u00b0C using the Ru/SiO\n                        2 catalyst. It can be shown, that the CO conversion is higher at temperatures between 140 and 200 \u00b0C under oxidizing conditions because CO can be converted to CO\n                        2. For temperatures from 200 to 320 \u00b0C the amount of oxidized H\n                        2 increases more than the amount of oxidized CO and consumes most of the O\n                        2. In parallel, CO methanation is increasing temporarily up to 250 \u00b0C with increasing temperature maybe due to formation of Ru\n                        n+ sites so that the CH\n                        4 space time yield by CO methanation is also higher than that by CO\n                        2 methanation. At temperatures between 250 and 300 \u00b0C a local minimum in methane formation from CO methanation is determined which might be attributed to a considerable decrease in Ru\n                        n+ sites by oxygen consumption. The CH\n                        4 space time yield by CO methanation clearly decreases with H\n                        2O co-feed compared to the same conditions but without water over the reaction temperature range examined. If CO (in a mixture of CO and CO\n                        2) has to be converted over a Ru/SiO\n                        2-catalyst by methanation a sufficient amount of O\n                        2 has to be added and temperature has to be controlled precisely. Because of the inner dimensions and the enhanced heat transfer coefficients of the microchannel reactor the latter demand can be met very easily. Temperature ranges can be controlled precisely, which is important to maximize the ratio of CH\n                        4 space time yield by CO to CO\n                        2 methanation. The experiments demonstrate that \u2026", "author" : [ { "dropping-particle" : "", "family" : "G\u00f6rke", "given" : "O.", "non-dropping-particle" : "", "parse-names" : false, "suffix" : "" }, { "dropping-particle" : "", "family" : "Pfeifer", "given" : "P.", "non-dropping-particle" : "", "parse-names" : false, "suffix" : "" }, { "dropping-particle" : "", "family" : "Schubert", "given" : "K.", "non-dropping-particle" : "", "parse-names" : false, "suffix" : "" } ], "container-title" : "Catalysis Today", "id" : "ITEM-2", "issue" : "1-2", "issued" : { "date-parts" : [ [ "2005" ] ] }, "page" : "132-139", "title" : "Highly selective methanation by the use of a microchannel reactor", "type" : "article-journal", "volume" : "110" }, "uris" : [ "http://www.mendeley.com/documents/?uuid=b9f079f2-376c-44cb-a0f1-c1998911e1fe" ] }, { "id" : "ITEM-3", "itemData" : { "DOI" : "10.1016/j.energy.2014.10.029", "ISBN" : "9780000000002", "ISSN" : "03605442", "abstract" : "CO in the hydrogen stream must be reduced to extremely low levels, under 10ppm, because the Pt electrode is detrimentally affected by residual CO in the H2 stream. Therefore removal of carbon monoxide from the H2-rich stream during fuel generation from hydrocarbons is a critical challenge, especially for PEMFC (proton exchange membrane fuel cell) applications. Herein, CO an initial concentration of 1.0vol.% was successfully removed from a H2-rich stream to a residual level below 10ppm, within the wide operating temperature range from 92 to 235\u00b0C by utilizing a hybrid channel reactor comprising a micro-channel heat exchanger and mini-packed bed reactor. The mini-packed bed reactor contained two kinds of catalysts that promote preferential oxidation and methanation of CO in series. The HMCR (hybrid micro- and mini- channel reactor) offers not only ultimately safe operation but also easy scale-up and is adaptable to mass production of CO clean-up units.", "author" : [ { "dropping-particle" : "", "family" : "Lee", "given" : "Chun Boo", "non-dropping-particle" : "", "parse-names" : false, "suffix" : "" }, { "dropping-particle" : "", "family" : "Cho", "given" : "Sung Ho", "non-dropping-particle" : "", "parse-names" : false, "suffix" : "" }, { "dropping-particle" : "", "family" : "Lee", "given" : "Dong Wook", "non-dropping-particle" : "", "parse-names" : false, "suffix" : "" }, { "dropping-particle" : "", "family" : "Hwang", "given" : "Kyung Ran", "non-dropping-particle" : "", "parse-names" : false, "suffix" : "" }, { "dropping-particle" : "", "family" : "Park", "given" : "Jong Soo", "non-dropping-particle" : "", "parse-names" : false, "suffix" : "" }, { "dropping-particle" : "", "family" : "Kim", "given" : "Sung Hyun", "non-dropping-particle" : "", "parse-names" : false, "suffix" : "" } ], "container-title" : "Energy", "id" : "ITEM-3", "issued" : { "date-parts" : [ [ "2014" ] ] }, "page" : "421-425", "title" : "Combination of preferential CO oxidation and methanation in hybrid MCR (micro-channel reactor) for CO clean-up", "type" : "article-journal", "volume" : "78" }, "uris" : [ "http://www.mendeley.com/documents/?uuid=1f98082e-6c30-4d5e-9688-a85cd1cd8e5c" ] } ], "mendeley" : { "formattedCitation" : "[37\u201339]", "plainTextFormattedCitation" : "[37\u201339]", "previouslyFormattedCitation" : "[37\u201339]" }, "properties" : { "noteIndex" : 0 }, "schema" : "https://github.com/citation-style-language/schema/raw/master/csl-citation.json" }</w:instrText>
      </w:r>
      <w:r>
        <w:rPr>
          <w:rFonts w:cs="Arial"/>
          <w:lang w:val="en-US" w:eastAsia="en-ZA" w:bidi="en-US"/>
        </w:rPr>
        <w:fldChar w:fldCharType="separate"/>
      </w:r>
      <w:r>
        <w:rPr>
          <w:rFonts w:cs="Arial"/>
          <w:noProof/>
          <w:lang w:val="en-US" w:eastAsia="en-ZA" w:bidi="en-US"/>
        </w:rPr>
        <w:t>[37–39]</w:t>
      </w:r>
      <w:r>
        <w:rPr>
          <w:rFonts w:cs="Arial"/>
          <w:lang w:val="en-US" w:eastAsia="en-ZA" w:bidi="en-US"/>
        </w:rPr>
        <w:fldChar w:fldCharType="end"/>
      </w:r>
      <w:r>
        <w:rPr>
          <w:rFonts w:cs="Arial"/>
          <w:lang w:val="en-US" w:eastAsia="en-ZA" w:bidi="en-US"/>
        </w:rPr>
        <w:t xml:space="preserve"> experimentally investigated selective methanation using simulated reformate CO/CO</w:t>
      </w:r>
      <w:r>
        <w:rPr>
          <w:rFonts w:cs="Arial"/>
          <w:vertAlign w:val="subscript"/>
          <w:lang w:val="en-US" w:eastAsia="en-ZA" w:bidi="en-US"/>
        </w:rPr>
        <w:t>2</w:t>
      </w:r>
      <w:r>
        <w:rPr>
          <w:rFonts w:cs="Arial"/>
          <w:lang w:val="en-US" w:eastAsia="en-ZA" w:bidi="en-US"/>
        </w:rPr>
        <w:t xml:space="preserve"> feed in microchannel reactors for fuel cell applications. Clearly, there is not sufficient literature on CO</w:t>
      </w:r>
      <w:r>
        <w:rPr>
          <w:rFonts w:cs="Arial"/>
          <w:vertAlign w:val="subscript"/>
          <w:lang w:val="en-US" w:eastAsia="en-ZA" w:bidi="en-US"/>
        </w:rPr>
        <w:t>2</w:t>
      </w:r>
      <w:r>
        <w:rPr>
          <w:rFonts w:cs="Arial"/>
          <w:lang w:val="en-US" w:eastAsia="en-ZA" w:bidi="en-US"/>
        </w:rPr>
        <w:t xml:space="preserve"> methanation in microchannel reactors for extension to P2G applications. In this investigation, the Sabatier process was demonstrated in a microchannel reactor at different operative conditions. In particular, the reactor performance was evaluated by investigating the effect of reactor pressure, temperature and space velocity. In addition, a three-dimensional CFD model was developed to obtain a fundamental insight and understanding into the operation of the microchannel reactor. </w:t>
      </w:r>
    </w:p>
    <w:p>
      <w:pPr>
        <w:pStyle w:val="Heading1"/>
        <w:rPr>
          <w:rFonts w:cs="Arial"/>
          <w:lang w:val="en-US" w:eastAsia="en-ZA" w:bidi="en-US"/>
        </w:rPr>
      </w:pPr>
      <w:r>
        <w:rPr>
          <w:rFonts w:cs="Arial"/>
          <w:lang w:val="en-US" w:eastAsia="en-ZA" w:bidi="en-US"/>
        </w:rPr>
        <w:t>2. Methodology</w:t>
      </w:r>
    </w:p>
    <w:p>
      <w:pPr>
        <w:pStyle w:val="Heading2"/>
        <w:rPr>
          <w:lang w:val="en-US" w:eastAsia="en-ZA" w:bidi="en-US"/>
        </w:rPr>
      </w:pPr>
      <w:r>
        <w:rPr>
          <w:lang w:val="en-US" w:eastAsia="en-ZA" w:bidi="en-US"/>
        </w:rPr>
        <w:t xml:space="preserve">2.1 Experimental </w:t>
      </w:r>
    </w:p>
    <w:p>
      <w:pPr>
        <w:spacing w:line="480" w:lineRule="auto"/>
        <w:ind w:firstLine="720"/>
        <w:rPr>
          <w:lang w:val="en-US" w:eastAsia="en-ZA" w:bidi="en-US"/>
        </w:rPr>
      </w:pPr>
      <w:r>
        <w:rPr>
          <w:lang w:val="en-US" w:eastAsia="en-ZA" w:bidi="en-US"/>
        </w:rPr>
        <w:t>This section describes the apparatus and procedure followed during the experimental evaluation of the microchannel reactor for CO</w:t>
      </w:r>
      <w:r>
        <w:rPr>
          <w:vertAlign w:val="subscript"/>
          <w:lang w:val="en-US" w:eastAsia="en-ZA" w:bidi="en-US"/>
        </w:rPr>
        <w:t>2</w:t>
      </w:r>
      <w:r>
        <w:rPr>
          <w:lang w:val="en-US" w:eastAsia="en-ZA" w:bidi="en-US"/>
        </w:rPr>
        <w:t xml:space="preserve"> methanation purposes.</w:t>
      </w:r>
    </w:p>
    <w:p>
      <w:pPr>
        <w:pStyle w:val="Heading3"/>
        <w:rPr>
          <w:lang w:val="en-US" w:eastAsia="en-ZA" w:bidi="en-US"/>
        </w:rPr>
      </w:pPr>
      <w:r>
        <w:rPr>
          <w:lang w:val="en-US" w:eastAsia="en-ZA" w:bidi="en-US"/>
        </w:rPr>
        <w:t>2.1.1 Microchannel reactor design</w:t>
      </w:r>
    </w:p>
    <w:p>
      <w:pPr>
        <w:spacing w:line="480" w:lineRule="auto"/>
        <w:rPr>
          <w:lang w:val="en-US" w:eastAsia="en-ZA" w:bidi="en-US"/>
        </w:rPr>
      </w:pPr>
      <w:r>
        <w:rPr>
          <w:lang w:val="en-US" w:eastAsia="en-ZA" w:bidi="en-US"/>
        </w:rPr>
        <w:tab/>
        <w:t>The microchannel reactor (Figure 1) used for CO</w:t>
      </w:r>
      <w:r>
        <w:rPr>
          <w:vertAlign w:val="subscript"/>
          <w:lang w:val="en-US" w:eastAsia="en-ZA" w:bidi="en-US"/>
        </w:rPr>
        <w:t>2</w:t>
      </w:r>
      <w:r>
        <w:rPr>
          <w:lang w:val="en-US" w:eastAsia="en-ZA" w:bidi="en-US"/>
        </w:rPr>
        <w:t xml:space="preserve"> methanation experiments was designed in collaboration with Fraunhofer-ICT-IMM (Mainz, Germany). The reactor was fabricated on a 2-mm-thick stainless steel platelet (German grade SS314) onto which 80 microchannels (Figure 1a) was engraved on its surface using a wet chemical etching method described elsewhere </w:t>
      </w:r>
      <w:r>
        <w:rPr>
          <w:lang w:val="en-US" w:eastAsia="en-ZA" w:bidi="en-US"/>
        </w:rPr>
        <w:fldChar w:fldCharType="begin" w:fldLock="1"/>
      </w:r>
      <w:r>
        <w:rPr>
          <w:lang w:val="en-US" w:eastAsia="en-ZA" w:bidi="en-US"/>
        </w:rPr>
        <w:instrText>ADDIN CSL_CITATION { "citationItems" : [ { "id" : "ITEM-1", "itemData" : { "DOI" : "10.1016/j.cherd.2011.08.002", "ISSN" : "02638762", "abstract" : "Fuel cell technology has a crucial role to play in future sustainable and distributed energy generation. With the issue of a reliable hydrogen supply in mind, fuel processing of fossil and renewable fuels is a viable option. Mobile and portable power generation systems require a compact hydrogen source when fuel cell technology is applied especially in applications focused on the small scale stationary level. Fuel processing is a feasible option to meet the limited space demands of auxiliary power units (APUs) due to the high energy density of liquid fuels. Many critical issues need to be addressed when microstructured reactors are applied. The most crucial of these are scale-up with respect to system integration, careful control of heat management and an increase in the durability of the catalyst. ?? 2011.", "author" : [ { "dropping-particle" : "", "family" : "O'Connell", "given" : "M.", "non-dropping-particle" : "", "parse-names" : false, "suffix" : "" }, { "dropping-particle" : "", "family" : "Kolb", "given" : "G.", "non-dropping-particle" : "", "parse-names" : false, "suffix" : "" }, { "dropping-particle" : "", "family" : "Schelhaas", "given" : "K. P.", "non-dropping-particle" : "", "parse-names" : false, "suffix" : "" }, { "dropping-particle" : "", "family" : "Wichert", "given" : "M.", "non-dropping-particle" : "", "parse-names" : false, "suffix" : "" }, { "dropping-particle" : "", "family" : "Tiemann", "given" : "D.", "non-dropping-particle" : "", "parse-names" : false, "suffix" : "" }, { "dropping-particle" : "", "family" : "Pennemann", "given" : "H.", "non-dropping-particle" : "", "parse-names" : false, "suffix" : "" }, { "dropping-particle" : "", "family" : "Zapf", "given" : "R.", "non-dropping-particle" : "", "parse-names" : false, "suffix" : "" } ], "container-title" : "Chemical Engineering Research and Design", "id" : "ITEM-1", "issue" : "1", "issued" : { "date-parts" : [ [ "2012" ] ] }, "page" : "11-18", "title" : "Towards mass production of microstructured fuel processors for application in future distributed energy generation systems: A review of recent progress at IMM", "type" : "article-journal", "volume" : "90" }, "uris" : [ "http://www.mendeley.com/documents/?uuid=1de8808f-98c6-4c98-b492-b6623de500c3" ] }, { "id" : "ITEM-2", "itemData" : { "DOI" : "10.1088/0960-1317/17/12/N01", "ISBN" : "0960-1317", "ISSN" : "0960-1317", "abstract" : "Microchannels in stainless steel were fabricated by using solutions of various concentrations of FeCl 3 , HCl and HNO 3 in water as etchants. This study shows that for obtaining smooth uniform channels on stainless steel substrates, an etchant consisting of FeCl 3 , HCl and HNO 3 is necessary. An increase in the concentration of HCl in the etchant increases the etch rate as well as the etch factor but adversely affects the roughness. Addition of HNO 3 is necessary to obtain smooth uniform channels. The depth and etch factor are significantly affected by the composition of etchant, operating temperature and initial width of opening. In the range of operating conditions studied, an etchant containing 10 wt% FeCl 3 , 10 wt% HCl and 5 wt% HNO 3 at 40 \u00c2\u00b0C and an initial width of 190 \u00c2\u00b5m gave the best results. With this etchant, the channels were smooth and uniform without any cavities on the edges of the channels. Initial width also plays a vital role in obtaining the final desired depth and etch factor.", "author" : [ { "dropping-particle" : "", "family" : "Nageswara Rao", "given" : "P", "non-dropping-particle" : "", "parse-names" : false, "suffix" : "" }, { "dropping-particle" : "", "family" : "Kunzru", "given" : "Deepak", "non-dropping-particle" : "", "parse-names" : false, "suffix" : "" } ], "container-title" : "Journal of Micromechanics and Microengineering", "id" : "ITEM-2", "issue" : "12", "issued" : { "date-parts" : [ [ "2007" ] ] }, "page" : "N99-N106", "title" : "Fabrication of microchannels on stainless steel by wet chemical etching", "type" : "article-journal", "volume" : "17" }, "uris" : [ "http://www.mendeley.com/documents/?uuid=d74decfb-3455-4c09-a2e6-de7881825dd8" ] } ], "mendeley" : { "formattedCitation" : "[40,41]", "plainTextFormattedCitation" : "[40,41]", "previouslyFormattedCitation" : "[40,41]" }, "properties" : { "noteIndex" : 0 }, "schema" : "https://github.com/citation-style-language/schema/raw/master/csl-citation.json" }</w:instrText>
      </w:r>
      <w:r>
        <w:rPr>
          <w:lang w:val="en-US" w:eastAsia="en-ZA" w:bidi="en-US"/>
        </w:rPr>
        <w:fldChar w:fldCharType="separate"/>
      </w:r>
      <w:r>
        <w:rPr>
          <w:noProof/>
          <w:lang w:val="en-US" w:eastAsia="en-ZA" w:bidi="en-US"/>
        </w:rPr>
        <w:t>[40]</w:t>
      </w:r>
      <w:r>
        <w:rPr>
          <w:lang w:val="en-US" w:eastAsia="en-ZA" w:bidi="en-US"/>
        </w:rPr>
        <w:fldChar w:fldCharType="end"/>
      </w:r>
      <w:r>
        <w:rPr>
          <w:lang w:val="en-US" w:eastAsia="en-ZA" w:bidi="en-US"/>
        </w:rPr>
        <w:t xml:space="preserve">. Each microchannel (Figure 1d) had the following dimensions; W = 450 </w:t>
      </w:r>
      <w:r>
        <w:rPr>
          <w:rFonts w:cs="Arial"/>
          <w:lang w:val="en-US" w:eastAsia="en-ZA" w:bidi="en-US"/>
        </w:rPr>
        <w:t>µ</w:t>
      </w:r>
      <w:r>
        <w:rPr>
          <w:lang w:val="en-US" w:eastAsia="en-ZA" w:bidi="en-US"/>
        </w:rPr>
        <w:t xml:space="preserve">m, H = 150 </w:t>
      </w:r>
      <w:r>
        <w:rPr>
          <w:rFonts w:cs="Arial"/>
          <w:lang w:val="en-US" w:eastAsia="en-ZA" w:bidi="en-US"/>
        </w:rPr>
        <w:t>µ</w:t>
      </w:r>
      <w:r>
        <w:rPr>
          <w:lang w:val="en-US" w:eastAsia="en-ZA" w:bidi="en-US"/>
        </w:rPr>
        <w:t xml:space="preserve">m and L = 5 cm. The adjacent microchannels were separated by 250-µm-wide channel fins. Inlet and outlet distribution manifolds with right-angled triangular shapes were also fabricated to allow for evenly distributed fluid flow. An equally-sized 2-mm-thick </w:t>
      </w:r>
      <w:r>
        <w:rPr>
          <w:lang w:val="en-US" w:eastAsia="en-ZA" w:bidi="en-US"/>
        </w:rPr>
        <w:lastRenderedPageBreak/>
        <w:t>stainless steel platelet without channels but with inlet and outlet manifolds (Figure 1b) was laser-welded to the washcoated channel-engraved platelet to complete the microchannel reactor.</w:t>
      </w:r>
    </w:p>
    <w:p>
      <w:pPr>
        <w:jc w:val="center"/>
        <w:rPr>
          <w:sz w:val="18"/>
          <w:szCs w:val="18"/>
          <w:lang w:val="en-US" w:eastAsia="en-ZA" w:bidi="en-US"/>
        </w:rPr>
      </w:pPr>
      <w:r>
        <w:rPr>
          <w:b/>
          <w:sz w:val="18"/>
          <w:szCs w:val="18"/>
          <w:lang w:val="en-US" w:eastAsia="en-ZA" w:bidi="en-US"/>
        </w:rPr>
        <w:t>Figure 1:</w:t>
      </w:r>
      <w:r>
        <w:rPr>
          <w:sz w:val="18"/>
          <w:szCs w:val="18"/>
          <w:lang w:val="en-US" w:eastAsia="en-ZA" w:bidi="en-US"/>
        </w:rPr>
        <w:t xml:space="preserve"> Illustration of (a) the SS314 microchannel platelet with 80 microchannels engraved onto its surface with fluid distribution manifolds (b) the second platelet with only fluid distribution manifolds engraved for laser-welding to complete the microchannel reactor (c) five microchannels with catalyst washcoated to channel surfaces and (d) an uncoated microchannel with dimensions.</w:t>
      </w:r>
    </w:p>
    <w:p>
      <w:pPr>
        <w:pStyle w:val="Heading3"/>
        <w:rPr>
          <w:lang w:val="en-US" w:eastAsia="en-ZA" w:bidi="en-US"/>
        </w:rPr>
      </w:pPr>
      <w:r>
        <w:rPr>
          <w:lang w:val="en-US" w:eastAsia="en-ZA" w:bidi="en-US"/>
        </w:rPr>
        <w:t>2.1.2 Catalyst preparation</w:t>
      </w:r>
    </w:p>
    <w:p>
      <w:pPr>
        <w:spacing w:line="480" w:lineRule="auto"/>
        <w:rPr>
          <w:lang w:val="en-US" w:eastAsia="en-ZA" w:bidi="en-US"/>
        </w:rPr>
      </w:pPr>
      <w:r>
        <w:rPr>
          <w:lang w:val="en-US" w:eastAsia="en-ZA" w:bidi="en-US"/>
        </w:rPr>
        <w:tab/>
        <w:t>A commercial 8.5 wt.% Ru-Cs/Al</w:t>
      </w:r>
      <w:r>
        <w:rPr>
          <w:vertAlign w:val="subscript"/>
          <w:lang w:val="en-US" w:eastAsia="en-ZA" w:bidi="en-US"/>
        </w:rPr>
        <w:t>2</w:t>
      </w:r>
      <w:r>
        <w:rPr>
          <w:lang w:val="en-US" w:eastAsia="en-ZA" w:bidi="en-US"/>
        </w:rPr>
        <w:t>O</w:t>
      </w:r>
      <w:r>
        <w:rPr>
          <w:vertAlign w:val="subscript"/>
          <w:lang w:val="en-US" w:eastAsia="en-ZA" w:bidi="en-US"/>
        </w:rPr>
        <w:t>3</w:t>
      </w:r>
      <w:r>
        <w:rPr>
          <w:lang w:val="en-US" w:eastAsia="en-ZA" w:bidi="en-US"/>
        </w:rPr>
        <w:t xml:space="preserve"> (10010</w:t>
      </w:r>
      <w:r>
        <w:rPr>
          <w:rFonts w:cs="Arial"/>
          <w:lang w:val="en-US" w:eastAsia="en-ZA" w:bidi="en-US"/>
        </w:rPr>
        <w:t>™</w:t>
      </w:r>
      <w:r>
        <w:rPr>
          <w:lang w:val="en-US" w:eastAsia="en-ZA" w:bidi="en-US"/>
        </w:rPr>
        <w:t>,</w:t>
      </w:r>
      <w:r>
        <w:t xml:space="preserve"> </w:t>
      </w:r>
      <w:r>
        <w:rPr>
          <w:lang w:val="en-US" w:eastAsia="en-ZA" w:bidi="en-US"/>
        </w:rPr>
        <w:t xml:space="preserve">Acta S.p.A, Italy) catalyst was used for these experiments </w:t>
      </w:r>
      <w:r>
        <w:rPr>
          <w:lang w:val="en-US" w:eastAsia="en-ZA" w:bidi="en-US"/>
        </w:rPr>
        <w:fldChar w:fldCharType="begin" w:fldLock="1"/>
      </w:r>
      <w:r>
        <w:rPr>
          <w:lang w:val="en-US" w:eastAsia="en-ZA" w:bidi="en-US"/>
        </w:rPr>
        <w:instrText>ADDIN CSL_CITATION { "citationItems" : [ { "id" : "ITEM-1", "itemData" : { "URL" : "http://www.actaspa.com/products/ammonia-reforming-catalysts/", "accessed" : { "date-parts" : [ [ "2016", "4", "4" ] ] }, "author" : [ { "dropping-particle" : "", "family" : "Acta S.P.A.", "given" : "", "non-dropping-particle" : "", "parse-names" : false, "suffix" : "" } ], "id" : "ITEM-1", "issued" : { "date-parts" : [ [ "2016" ] ] }, "title" : "Ammonia Reforming Catalysts", "type" : "webpage" }, "uris" : [ "http://www.mendeley.com/documents/?uuid=81e0bf64-d9d8-4439-ba53-466af742ea94" ] } ], "mendeley" : { "formattedCitation" : "[42]", "plainTextFormattedCitation" : "[42]", "previouslyFormattedCitation" : "[42]" }, "properties" : { "noteIndex" : 0 }, "schema" : "https://github.com/citation-style-language/schema/raw/master/csl-citation.json" }</w:instrText>
      </w:r>
      <w:r>
        <w:rPr>
          <w:lang w:val="en-US" w:eastAsia="en-ZA" w:bidi="en-US"/>
        </w:rPr>
        <w:fldChar w:fldCharType="separate"/>
      </w:r>
      <w:r>
        <w:rPr>
          <w:noProof/>
          <w:lang w:val="en-US" w:eastAsia="en-ZA" w:bidi="en-US"/>
        </w:rPr>
        <w:t>[41]</w:t>
      </w:r>
      <w:r>
        <w:rPr>
          <w:lang w:val="en-US" w:eastAsia="en-ZA" w:bidi="en-US"/>
        </w:rPr>
        <w:fldChar w:fldCharType="end"/>
      </w:r>
      <w:r>
        <w:rPr>
          <w:lang w:val="en-US" w:eastAsia="en-ZA" w:bidi="en-US"/>
        </w:rPr>
        <w:t>. The Ru catalyst (BET surface area of 113 m</w:t>
      </w:r>
      <w:r>
        <w:rPr>
          <w:vertAlign w:val="superscript"/>
          <w:lang w:val="en-US" w:eastAsia="en-ZA" w:bidi="en-US"/>
        </w:rPr>
        <w:t>2</w:t>
      </w:r>
      <w:r>
        <w:rPr>
          <w:lang w:val="en-US" w:eastAsia="en-ZA" w:bidi="en-US"/>
        </w:rPr>
        <w:t>.g</w:t>
      </w:r>
      <w:r>
        <w:rPr>
          <w:vertAlign w:val="superscript"/>
          <w:lang w:val="en-US" w:eastAsia="en-ZA" w:bidi="en-US"/>
        </w:rPr>
        <w:t>-1</w:t>
      </w:r>
      <w:r>
        <w:rPr>
          <w:lang w:val="en-US" w:eastAsia="en-ZA" w:bidi="en-US"/>
        </w:rPr>
        <w:t xml:space="preserve"> and pore volume of 0.30 cm</w:t>
      </w:r>
      <w:r>
        <w:rPr>
          <w:vertAlign w:val="superscript"/>
          <w:lang w:val="en-US" w:eastAsia="en-ZA" w:bidi="en-US"/>
        </w:rPr>
        <w:t>3</w:t>
      </w:r>
      <w:r>
        <w:rPr>
          <w:lang w:val="en-US" w:eastAsia="en-ZA" w:bidi="en-US"/>
        </w:rPr>
        <w:t>.g</w:t>
      </w:r>
      <w:r>
        <w:rPr>
          <w:vertAlign w:val="superscript"/>
          <w:lang w:val="en-US" w:eastAsia="en-ZA" w:bidi="en-US"/>
        </w:rPr>
        <w:t>-1</w:t>
      </w:r>
      <w:r>
        <w:rPr>
          <w:lang w:val="en-US" w:eastAsia="en-ZA" w:bidi="en-US"/>
        </w:rPr>
        <w:t xml:space="preserve">) was washcoated onto each microchannel using sequential washcoating, drying and calcination steps described in the work of </w:t>
      </w:r>
      <w:r>
        <w:rPr>
          <w:noProof/>
        </w:rPr>
        <w:t>O’Connell et al.</w:t>
      </w:r>
      <w:r>
        <w:rPr>
          <w:lang w:val="en-US" w:eastAsia="en-ZA" w:bidi="en-US"/>
        </w:rPr>
        <w:t xml:space="preserve"> </w:t>
      </w:r>
      <w:r>
        <w:rPr>
          <w:lang w:val="en-US" w:eastAsia="en-ZA" w:bidi="en-US"/>
        </w:rPr>
        <w:fldChar w:fldCharType="begin" w:fldLock="1"/>
      </w:r>
      <w:r>
        <w:rPr>
          <w:lang w:val="en-US" w:eastAsia="en-ZA" w:bidi="en-US"/>
        </w:rPr>
        <w:instrText>ADDIN CSL_CITATION { "citationItems" : [ { "id" : "ITEM-1", "itemData" : { "DOI" : "10.1016/j.cherd.2011.08.002", "ISSN" : "02638762", "abstract" : "Fuel cell technology has a crucial role to play in future sustainable and distributed energy generation. With the issue of a reliable hydrogen supply in mind, fuel processing of fossil and renewable fuels is a viable option. Mobile and portable power generation systems require a compact hydrogen source when fuel cell technology is applied especially in applications focused on the small scale stationary level. Fuel processing is a feasible option to meet the limited space demands of auxiliary power units (APUs) due to the high energy density of liquid fuels. Many critical issues need to be addressed when microstructured reactors are applied. The most crucial of these are scale-up with respect to system integration, careful control of heat management and an increase in the durability of the catalyst. ?? 2011.", "author" : [ { "dropping-particle" : "", "family" : "O'Connell", "given" : "M.", "non-dropping-particle" : "", "parse-names" : false, "suffix" : "" }, { "dropping-particle" : "", "family" : "Kolb", "given" : "G.", "non-dropping-particle" : "", "parse-names" : false, "suffix" : "" }, { "dropping-particle" : "", "family" : "Schelhaas", "given" : "K. P.", "non-dropping-particle" : "", "parse-names" : false, "suffix" : "" }, { "dropping-particle" : "", "family" : "Wichert", "given" : "M.", "non-dropping-particle" : "", "parse-names" : false, "suffix" : "" }, { "dropping-particle" : "", "family" : "Tiemann", "given" : "D.", "non-dropping-particle" : "", "parse-names" : false, "suffix" : "" }, { "dropping-particle" : "", "family" : "Pennemann", "given" : "H.", "non-dropping-particle" : "", "parse-names" : false, "suffix" : "" }, { "dropping-particle" : "", "family" : "Zapf", "given" : "R.", "non-dropping-particle" : "", "parse-names" : false, "suffix" : "" } ], "container-title" : "Chemical Engineering Research and Design", "id" : "ITEM-1", "issue" : "1", "issued" : { "date-parts" : [ [ "2012" ] ] }, "page" : "11-18", "title" : "Towards mass production of microstructured fuel processors for application in future distributed energy generation systems: A review of recent progress at IMM", "type" : "article-journal", "volume" : "90" }, "uris" : [ "http://www.mendeley.com/documents/?uuid=1de8808f-98c6-4c98-b492-b6623de500c3" ] } ], "mendeley" : { "formattedCitation" : "[40]", "plainTextFormattedCitation" : "[40]", "previouslyFormattedCitation" : "[40]" }, "properties" : { "noteIndex" : 0 }, "schema" : "https://github.com/citation-style-language/schema/raw/master/csl-citation.json" }</w:instrText>
      </w:r>
      <w:r>
        <w:rPr>
          <w:lang w:val="en-US" w:eastAsia="en-ZA" w:bidi="en-US"/>
        </w:rPr>
        <w:fldChar w:fldCharType="separate"/>
      </w:r>
      <w:r>
        <w:rPr>
          <w:noProof/>
          <w:lang w:val="en-US" w:eastAsia="en-ZA" w:bidi="en-US"/>
        </w:rPr>
        <w:t>[40]</w:t>
      </w:r>
      <w:r>
        <w:rPr>
          <w:lang w:val="en-US" w:eastAsia="en-ZA" w:bidi="en-US"/>
        </w:rPr>
        <w:fldChar w:fldCharType="end"/>
      </w:r>
      <w:r>
        <w:rPr>
          <w:lang w:val="en-US" w:eastAsia="en-ZA" w:bidi="en-US"/>
        </w:rPr>
        <w:t xml:space="preserve">. A </w:t>
      </w:r>
      <w:r>
        <w:t>40</w:t>
      </w:r>
      <w:r>
        <w:rPr>
          <w:lang w:val="en-US" w:eastAsia="en-ZA" w:bidi="en-US"/>
        </w:rPr>
        <w:t>-µm-thick porous catalyst washcoat layer was achieved and the reactor contained approximately 92 mg of catalyst.</w:t>
      </w:r>
    </w:p>
    <w:p>
      <w:pPr>
        <w:pStyle w:val="Heading3"/>
        <w:rPr>
          <w:lang w:val="en-US" w:eastAsia="en-ZA" w:bidi="en-US"/>
        </w:rPr>
      </w:pPr>
      <w:r>
        <w:rPr>
          <w:lang w:val="en-US" w:eastAsia="en-ZA" w:bidi="en-US"/>
        </w:rPr>
        <w:t>2.1.3 Experimental Apparatus</w:t>
      </w:r>
    </w:p>
    <w:p>
      <w:pPr>
        <w:spacing w:line="480" w:lineRule="auto"/>
        <w:rPr>
          <w:lang w:val="en-US" w:eastAsia="en-ZA" w:bidi="en-US"/>
        </w:rPr>
      </w:pPr>
      <w:r>
        <w:rPr>
          <w:lang w:val="en-US" w:eastAsia="en-ZA" w:bidi="en-US"/>
        </w:rPr>
        <w:tab/>
        <w:t>Figure 2 shows the apparatus set-up for CO</w:t>
      </w:r>
      <w:r>
        <w:rPr>
          <w:vertAlign w:val="subscript"/>
          <w:lang w:val="en-US" w:eastAsia="en-ZA" w:bidi="en-US"/>
        </w:rPr>
        <w:t>2</w:t>
      </w:r>
      <w:r>
        <w:rPr>
          <w:lang w:val="en-US" w:eastAsia="en-ZA" w:bidi="en-US"/>
        </w:rPr>
        <w:t xml:space="preserve"> methanation experiments in this investigation. The flow rates of feed (H</w:t>
      </w:r>
      <w:r>
        <w:rPr>
          <w:vertAlign w:val="subscript"/>
          <w:lang w:val="en-US" w:eastAsia="en-ZA" w:bidi="en-US"/>
        </w:rPr>
        <w:t>2</w:t>
      </w:r>
      <w:r>
        <w:rPr>
          <w:lang w:val="en-US" w:eastAsia="en-ZA" w:bidi="en-US"/>
        </w:rPr>
        <w:t xml:space="preserve"> and CO</w:t>
      </w:r>
      <w:r>
        <w:rPr>
          <w:vertAlign w:val="subscript"/>
          <w:lang w:val="en-US" w:eastAsia="en-ZA" w:bidi="en-US"/>
        </w:rPr>
        <w:t>2</w:t>
      </w:r>
      <w:r>
        <w:rPr>
          <w:lang w:val="en-US" w:eastAsia="en-ZA" w:bidi="en-US"/>
        </w:rPr>
        <w:t>) were controlled by the respective thermal mass flow controllers (Brooks SLA5850). Prior to the reactor, an ABB continuous gas analyzer (Model EL3020) was used to confirm a stoichiometric feed ratio of 4:1 (H</w:t>
      </w:r>
      <w:r>
        <w:rPr>
          <w:vertAlign w:val="subscript"/>
          <w:lang w:val="en-US" w:eastAsia="en-ZA" w:bidi="en-US"/>
        </w:rPr>
        <w:t>2</w:t>
      </w:r>
      <w:r>
        <w:rPr>
          <w:lang w:val="en-US" w:eastAsia="en-ZA" w:bidi="en-US"/>
        </w:rPr>
        <w:t>:CO</w:t>
      </w:r>
      <w:r>
        <w:rPr>
          <w:vertAlign w:val="subscript"/>
          <w:lang w:val="en-US" w:eastAsia="en-ZA" w:bidi="en-US"/>
        </w:rPr>
        <w:t>2</w:t>
      </w:r>
      <w:r>
        <w:rPr>
          <w:lang w:val="en-US" w:eastAsia="en-ZA" w:bidi="en-US"/>
        </w:rPr>
        <w:t xml:space="preserve">). The reactor temperature was measured using two K-type thermocouples positioned just below the reactor substrate wall. Heat was supplied to the reactor using two </w:t>
      </w:r>
      <w:r>
        <w:t>Watlow FIREROD</w:t>
      </w:r>
      <w:r>
        <w:rPr>
          <w:rFonts w:cs="Arial"/>
          <w:vertAlign w:val="superscript"/>
        </w:rPr>
        <w:t>®</w:t>
      </w:r>
      <w:r>
        <w:rPr>
          <w:rFonts w:cs="Arial"/>
        </w:rPr>
        <w:t xml:space="preserve"> </w:t>
      </w:r>
      <w:r>
        <w:rPr>
          <w:lang w:val="en-US" w:eastAsia="en-ZA" w:bidi="en-US"/>
        </w:rPr>
        <w:t xml:space="preserve">electric cartridge heaters </w:t>
      </w:r>
      <w:r>
        <w:t>(300 W)</w:t>
      </w:r>
      <w:r>
        <w:rPr>
          <w:lang w:val="en-US" w:eastAsia="en-ZA" w:bidi="en-US"/>
        </w:rPr>
        <w:t xml:space="preserve"> positioned within the heating block. The reactor pressure drop was recorded with an </w:t>
      </w:r>
      <w:r>
        <w:t>AT9000 DP pressure transmitter (Model GTX31D)</w:t>
      </w:r>
      <w:r>
        <w:rPr>
          <w:lang w:val="en-US" w:eastAsia="en-ZA" w:bidi="en-US"/>
        </w:rPr>
        <w:t xml:space="preserve"> connected to the reactor inlet and outlet piping. A needle valve at the reactor outlet was used to create a back-pressure for experiments performed at 5 bar and 10 bar. Water was condensed out before a product gas sample was analyzed in a SRI gas chromatograph (Model 8610C)</w:t>
      </w:r>
      <w:r>
        <w:t xml:space="preserve"> </w:t>
      </w:r>
      <w:r>
        <w:rPr>
          <w:lang w:val="en-US" w:eastAsia="en-ZA" w:bidi="en-US"/>
        </w:rPr>
        <w:t xml:space="preserve">equipped with TCDs. </w:t>
      </w:r>
      <w:r>
        <w:t>An Aalborg digital mass flow meter was used to measure the flow rate of the product gas.</w:t>
      </w:r>
    </w:p>
    <w:p>
      <w:pPr>
        <w:jc w:val="center"/>
        <w:rPr>
          <w:sz w:val="18"/>
          <w:szCs w:val="18"/>
          <w:lang w:val="en-US" w:eastAsia="en-ZA" w:bidi="en-US"/>
        </w:rPr>
      </w:pPr>
      <w:r>
        <w:rPr>
          <w:b/>
          <w:sz w:val="18"/>
          <w:szCs w:val="18"/>
          <w:lang w:val="en-US" w:eastAsia="en-ZA" w:bidi="en-US"/>
        </w:rPr>
        <w:lastRenderedPageBreak/>
        <w:t>Figure 2:</w:t>
      </w:r>
      <w:r>
        <w:rPr>
          <w:sz w:val="18"/>
          <w:szCs w:val="18"/>
          <w:lang w:val="en-US" w:eastAsia="en-ZA" w:bidi="en-US"/>
        </w:rPr>
        <w:t xml:space="preserve"> Experimental setup used for CO</w:t>
      </w:r>
      <w:r>
        <w:rPr>
          <w:sz w:val="18"/>
          <w:szCs w:val="18"/>
          <w:vertAlign w:val="subscript"/>
          <w:lang w:val="en-US" w:eastAsia="en-ZA" w:bidi="en-US"/>
        </w:rPr>
        <w:t>2</w:t>
      </w:r>
      <w:r>
        <w:rPr>
          <w:sz w:val="18"/>
          <w:szCs w:val="18"/>
          <w:lang w:val="en-US" w:eastAsia="en-ZA" w:bidi="en-US"/>
        </w:rPr>
        <w:t xml:space="preserve"> methanation.</w:t>
      </w:r>
    </w:p>
    <w:p>
      <w:pPr>
        <w:pStyle w:val="Heading3"/>
        <w:rPr>
          <w:lang w:val="en-US" w:eastAsia="en-ZA" w:bidi="en-US"/>
        </w:rPr>
      </w:pPr>
      <w:r>
        <w:rPr>
          <w:lang w:val="en-US" w:eastAsia="en-ZA" w:bidi="en-US"/>
        </w:rPr>
        <w:t>2.1.4 Experimental Procedure</w:t>
      </w:r>
    </w:p>
    <w:p>
      <w:pPr>
        <w:spacing w:line="480" w:lineRule="auto"/>
        <w:ind w:firstLine="720"/>
        <w:rPr>
          <w:lang w:val="en-US" w:eastAsia="en-ZA" w:bidi="en-US"/>
        </w:rPr>
      </w:pPr>
      <w:r>
        <w:rPr>
          <w:lang w:val="en-US" w:eastAsia="en-ZA" w:bidi="en-US"/>
        </w:rPr>
        <w:t>Prior to experiments, the catalyst was reduced at 400°C under a pure H</w:t>
      </w:r>
      <w:r>
        <w:rPr>
          <w:vertAlign w:val="subscript"/>
          <w:lang w:val="en-US" w:eastAsia="en-ZA" w:bidi="en-US"/>
        </w:rPr>
        <w:t>2</w:t>
      </w:r>
      <w:r>
        <w:rPr>
          <w:lang w:val="en-US" w:eastAsia="en-ZA" w:bidi="en-US"/>
        </w:rPr>
        <w:t xml:space="preserve"> flow of 50 ml.min</w:t>
      </w:r>
      <w:r>
        <w:rPr>
          <w:vertAlign w:val="superscript"/>
          <w:lang w:val="en-US" w:eastAsia="en-ZA" w:bidi="en-US"/>
        </w:rPr>
        <w:t>-1</w:t>
      </w:r>
      <w:r>
        <w:rPr>
          <w:lang w:val="en-US" w:eastAsia="en-ZA" w:bidi="en-US"/>
        </w:rPr>
        <w:t xml:space="preserve"> for 1 h. Next, a N</w:t>
      </w:r>
      <w:r>
        <w:rPr>
          <w:vertAlign w:val="subscript"/>
          <w:lang w:val="en-US" w:eastAsia="en-ZA" w:bidi="en-US"/>
        </w:rPr>
        <w:t>2</w:t>
      </w:r>
      <w:r>
        <w:rPr>
          <w:lang w:val="en-US" w:eastAsia="en-ZA" w:bidi="en-US"/>
        </w:rPr>
        <w:t xml:space="preserve"> flow of 50 ml.min</w:t>
      </w:r>
      <w:r>
        <w:rPr>
          <w:vertAlign w:val="superscript"/>
          <w:lang w:val="en-US" w:eastAsia="en-ZA" w:bidi="en-US"/>
        </w:rPr>
        <w:t>-1</w:t>
      </w:r>
      <w:r>
        <w:rPr>
          <w:lang w:val="en-US" w:eastAsia="en-ZA" w:bidi="en-US"/>
        </w:rPr>
        <w:t xml:space="preserve"> was used for 30 minutes to remove residual H</w:t>
      </w:r>
      <w:r>
        <w:rPr>
          <w:vertAlign w:val="subscript"/>
          <w:lang w:val="en-US" w:eastAsia="en-ZA" w:bidi="en-US"/>
        </w:rPr>
        <w:t>2</w:t>
      </w:r>
      <w:r>
        <w:rPr>
          <w:lang w:val="en-US" w:eastAsia="en-ZA" w:bidi="en-US"/>
        </w:rPr>
        <w:t xml:space="preserve"> within the catalyst washcoat. For all experiments, a constant stoichiometric feed ratio of 4:1 (H</w:t>
      </w:r>
      <w:r>
        <w:rPr>
          <w:vertAlign w:val="subscript"/>
          <w:lang w:val="en-US" w:eastAsia="en-ZA" w:bidi="en-US"/>
        </w:rPr>
        <w:t>2</w:t>
      </w:r>
      <w:r>
        <w:rPr>
          <w:lang w:val="en-US" w:eastAsia="en-ZA" w:bidi="en-US"/>
        </w:rPr>
        <w:t>:CO</w:t>
      </w:r>
      <w:r>
        <w:rPr>
          <w:vertAlign w:val="subscript"/>
          <w:lang w:val="en-US" w:eastAsia="en-ZA" w:bidi="en-US"/>
        </w:rPr>
        <w:t>2</w:t>
      </w:r>
      <w:r>
        <w:rPr>
          <w:lang w:val="en-US" w:eastAsia="en-ZA" w:bidi="en-US"/>
        </w:rPr>
        <w:t>) was used. The reactor operating temperatures and feed flow rates were varied between 250</w:t>
      </w:r>
      <w:r>
        <w:rPr>
          <w:rFonts w:cs="Arial"/>
          <w:lang w:val="en-US" w:eastAsia="en-ZA" w:bidi="en-US"/>
        </w:rPr>
        <w:t>–</w:t>
      </w:r>
      <w:r>
        <w:rPr>
          <w:lang w:val="en-US" w:eastAsia="en-ZA" w:bidi="en-US"/>
        </w:rPr>
        <w:t>400°C in increments of 25°C and 50</w:t>
      </w:r>
      <w:r>
        <w:rPr>
          <w:rFonts w:cs="Arial"/>
          <w:lang w:val="en-US" w:eastAsia="en-ZA" w:bidi="en-US"/>
        </w:rPr>
        <w:t>–</w:t>
      </w:r>
      <w:r>
        <w:rPr>
          <w:lang w:val="en-US" w:eastAsia="en-ZA" w:bidi="en-US"/>
        </w:rPr>
        <w:t>150 ml.min</w:t>
      </w:r>
      <w:r>
        <w:rPr>
          <w:vertAlign w:val="superscript"/>
          <w:lang w:val="en-US" w:eastAsia="en-ZA" w:bidi="en-US"/>
        </w:rPr>
        <w:t>-1</w:t>
      </w:r>
      <w:r>
        <w:rPr>
          <w:lang w:val="en-US" w:eastAsia="en-ZA" w:bidi="en-US"/>
        </w:rPr>
        <w:t xml:space="preserve"> in increments of 25 ml.min</w:t>
      </w:r>
      <w:r>
        <w:rPr>
          <w:vertAlign w:val="superscript"/>
          <w:lang w:val="en-US" w:eastAsia="en-ZA" w:bidi="en-US"/>
        </w:rPr>
        <w:t>-1</w:t>
      </w:r>
      <w:r>
        <w:rPr>
          <w:lang w:val="en-US" w:eastAsia="en-ZA" w:bidi="en-US"/>
        </w:rPr>
        <w:t>, respectively. The flow rates correspond to gas hourly space velocity (GHSV) values between 32.6–97.8 L.g</w:t>
      </w:r>
      <w:r>
        <w:rPr>
          <w:vertAlign w:val="subscript"/>
          <w:lang w:val="en-US" w:eastAsia="en-ZA" w:bidi="en-US"/>
        </w:rPr>
        <w:t>cat</w:t>
      </w:r>
      <w:r>
        <w:rPr>
          <w:vertAlign w:val="superscript"/>
          <w:lang w:val="en-US" w:eastAsia="en-ZA" w:bidi="en-US"/>
        </w:rPr>
        <w:t>-1</w:t>
      </w:r>
      <w:r>
        <w:rPr>
          <w:lang w:val="en-US" w:eastAsia="en-ZA" w:bidi="en-US"/>
        </w:rPr>
        <w:t>.h</w:t>
      </w:r>
      <w:r>
        <w:rPr>
          <w:vertAlign w:val="superscript"/>
          <w:lang w:val="en-US" w:eastAsia="en-ZA" w:bidi="en-US"/>
        </w:rPr>
        <w:t>-1</w:t>
      </w:r>
      <w:r>
        <w:rPr>
          <w:lang w:val="en-US" w:eastAsia="en-ZA" w:bidi="en-US"/>
        </w:rPr>
        <w:t>. In addition, experiments were conducted at atmospheric pressure, 5 bar and 10 bar to investigate the effect of pressure on the overall performance of the microchannel reactor. These temperature and pressure conditions were used to identify operating conditions near equilibrium CO</w:t>
      </w:r>
      <w:r>
        <w:rPr>
          <w:vertAlign w:val="subscript"/>
          <w:lang w:val="en-US" w:eastAsia="en-ZA" w:bidi="en-US"/>
        </w:rPr>
        <w:t>2</w:t>
      </w:r>
      <w:r>
        <w:rPr>
          <w:lang w:val="en-US" w:eastAsia="en-ZA" w:bidi="en-US"/>
        </w:rPr>
        <w:t xml:space="preserve"> conversion. The reactor was operated in a daily start-up and shutdown mode, with each cycle lasting 8 hours. Ten GC data samples taken in intervals of 15 min were averaged to obtain one experimental data point. The experimental data was reproducible within 5%. Lastly, an experiment to establish the long-term reactor stability was performed for a continuous period of 150 hours.</w:t>
      </w:r>
    </w:p>
    <w:p>
      <w:pPr>
        <w:pStyle w:val="Heading2"/>
        <w:rPr>
          <w:lang w:val="en-US" w:eastAsia="en-ZA" w:bidi="en-US"/>
        </w:rPr>
      </w:pPr>
      <w:r>
        <w:rPr>
          <w:lang w:val="en-US" w:eastAsia="en-ZA" w:bidi="en-US"/>
        </w:rPr>
        <w:t xml:space="preserve">2.2 CFD model development </w:t>
      </w:r>
    </w:p>
    <w:p>
      <w:pPr>
        <w:spacing w:line="480" w:lineRule="auto"/>
        <w:ind w:firstLine="720"/>
        <w:rPr>
          <w:lang w:val="en-US" w:eastAsia="en-ZA" w:bidi="en-US"/>
        </w:rPr>
      </w:pPr>
      <w:r>
        <w:rPr>
          <w:lang w:val="en-US" w:eastAsia="en-ZA" w:bidi="en-US"/>
        </w:rPr>
        <w:t>This section describes the development of the CFD model, which was subsequently used to characterize and evaluate the reaction-coupled transport phenomena occurring within the reactor.</w:t>
      </w:r>
    </w:p>
    <w:p>
      <w:pPr>
        <w:keepNext/>
        <w:keepLines/>
        <w:spacing w:before="200" w:after="0"/>
        <w:outlineLvl w:val="1"/>
        <w:rPr>
          <w:rFonts w:eastAsia="Times New Roman"/>
          <w:b/>
          <w:bCs/>
          <w:sz w:val="26"/>
          <w:szCs w:val="26"/>
          <w:lang w:val="en-US" w:eastAsia="en-ZA" w:bidi="en-US"/>
        </w:rPr>
      </w:pPr>
      <w:r>
        <w:rPr>
          <w:rFonts w:eastAsia="Times New Roman"/>
          <w:b/>
          <w:bCs/>
          <w:sz w:val="26"/>
          <w:szCs w:val="26"/>
          <w:lang w:val="en-US" w:eastAsia="en-ZA" w:bidi="en-US"/>
        </w:rPr>
        <w:t>2.2.1 Model geometry</w:t>
      </w:r>
    </w:p>
    <w:p>
      <w:pPr>
        <w:spacing w:line="480" w:lineRule="auto"/>
        <w:ind w:firstLine="720"/>
        <w:rPr>
          <w:lang w:val="en-US" w:eastAsia="en-ZA" w:bidi="en-US"/>
        </w:rPr>
      </w:pPr>
      <w:r>
        <w:rPr>
          <w:lang w:val="en-US" w:eastAsia="en-ZA" w:bidi="en-US"/>
        </w:rPr>
        <w:t xml:space="preserve">A discretized 3-D computational geometry (Figure 3) of a single microchannel was used for the CFD simulations presented in this paper to account for the velocity and concentration variations in the axial and transverse directions. The single-channel modelling approach is commonly used in literature and assumes all microchannels are identical and fluid flow is equally distributed among the channels </w:t>
      </w:r>
      <w:r>
        <w:rPr>
          <w:lang w:val="en-US" w:eastAsia="en-ZA" w:bidi="en-US"/>
        </w:rPr>
        <w:fldChar w:fldCharType="begin" w:fldLock="1"/>
      </w:r>
      <w:r>
        <w:rPr>
          <w:lang w:val="en-US" w:eastAsia="en-ZA" w:bidi="en-US"/>
        </w:rPr>
        <w:instrText>ADDIN CSL_CITATION { "citationItems" : [ { "id" : "ITEM-1", "itemData" : { "DOI" : "10.1016/j.ijhydene.2014.05.146", "ISBN" : "03603199", "ISSN" : "03603199", "abstract" : "Hydrogen production from an ammonia-fuelled microchannel reactor is simulated in a three-dimensional (3D) model implemented via Comsol Multiphysics???. The work described in this paper endeavours to obtain a mathematical framework that provides an understanding of reaction-coupled transport phenomena within the microchannel reactor. The transport processes and reactor performance are elucidated in terms of velocity, temperature, and species concentration distributions, as well as local reaction rate and NH 3 conversion profiles. The baseline case is first investigated to comprehend the behaviour of the microchannel reactor, then microstructural design and operating parameters are methodically altered around the baseline conditions to explore the optimum values. The simulation results show that an optimum NH3 space velocity (GHSV) of 65,000 Nml gcat -1 h-1 yields 99.1% NH3 conversion and a power density of 32 kWe L-1 at the highest operating temperature of 973 K. It is also shown that a 40-??m-thick porous washcoat is most desirable at these optimum conditions. Finally, a low channel hydraulic diameter (225 ??m) is observed to contribute to high NH3 conversion. Mass transport limitations in the porous-washcoat and gas-phase are negligible as depicted by the Damk??hler and Fourier numbers, respectively. The experimental microchannel reactor yields 98.2% NH3 conversion and a power density of 30.8 kWe L-1 when tested at the optimum operating conditions established by the model. Good agreement with experimental data is observed, so the integrated experimental-modelling approach developed in this paper may well provide an incisive step toward the efficient design of ammonia-fuelled microchannel reformers. Copyright ?? 2014, Hydrogen Energy Publications, LLC. Published by Elsevier Ltd. All rights reserved.", "author" : [ { "dropping-particle" : "", "family" : "Chiuta", "given" : "Steven", "non-dropping-particle" : "", "parse-names" : false, "suffix" : "" }, { "dropping-particle" : "", "family" : "Everson", "given" : "Raymond C.", "non-dropping-particle" : "", "parse-names" : false, "suffix" : "" }, { "dropping-particle" : "", "family" : "Neomagus", "given" : "Hein W J P", "non-dropping-particle" : "", "parse-names" : false, "suffix" : "" }, { "dropping-particle" : "", "family" : "Grange", "given" : "Louis A.", "non-dropping-particle" : "Le", "parse-names" : false, "suffix" : "" }, { "dropping-particle" : "", "family" : "Bessarabov", "given" : "Dmitri G.", "non-dropping-particle" : "", "parse-names" : false, "suffix" : "" } ], "container-title" : "International Journal of Hydrogen Energy", "id" : "ITEM-1", "issue" : "22", "issued" : { "date-parts" : [ [ "2014" ] ] }, "page" : "11390-11402", "publisher" : "Elsevier Ltd", "title" : "A modelling evaluation of an ammonia-fuelled microchannel reformer for hydrogen generation", "type" : "article-journal", "volume" : "39" }, "uris" : [ "http://www.mendeley.com/documents/?uuid=8c82eb68-c516-4bba-939a-d0f0878b2e5a" ] }, { "id" : "ITEM-2", "itemData" : { "DOI" : "10.1016/j.apcata.2008.04.010", "ISSN" : "0926860X", "abstract" : "Monolith reactors have been widely used as catalytic converters in the automobile industry. Their applications in other fields, such as environmental pollution abatement and hydrocarbon processing for fuel cells, have also received much attention because of the unique advantages they can offer compared to packed-bed reactors. Detailed modeling and simulation can help understand the complexity of interactions between various physical and chemical processes occurring within monolith channels and in the channel walls. In this review, first a general monolith reactor model for gas phase reactions is proposed and discussed for various modeling applications. In the following sections, the recent published studies on modeling and simulation of gas phase monolith reactors were reviewed with the focus on mass and heat transfer in monoliths, transient/dynamic modeling, gas flow uniformity and chemical kinetics effects on monolith reactor performance. Suggestions on future work were provided. Crown Copyright \u00a9 2008.", "author" : [ { "dropping-particle" : "", "family" : "Chen", "given" : "Jinwen", "non-dropping-particle" : "", "parse-names" : false, "suffix" : "" }, { "dropping-particle" : "", "family" : "Yang", "given" : "Hong", "non-dropping-particle" : "", "parse-names" : false, "suffix" : "" }, { "dropping-particle" : "", "family" : "Wang", "given" : "Neil", "non-dropping-particle" : "", "parse-names" : false, "suffix" : "" }, { "dropping-particle" : "", "family" : "Ring", "given" : "Zbigniew", "non-dropping-particle" : "", "parse-names" : false, "suffix" : "" }, { "dropping-particle" : "", "family" : "Dabros", "given" : "Tadeusz", "non-dropping-particle" : "", "parse-names" : false, "suffix" : "" } ], "container-title" : "Applied Catalysis A: General", "id" : "ITEM-2", "issue" : "1", "issued" : { "date-parts" : [ [ "2008" ] ] }, "page" : "1-11", "title" : "Mathematical modeling of monolith catalysts and reactors for gas phase reactions", "type" : "article", "volume" : "345" }, "uris" : [ "http://www.mendeley.com/documents/?uuid=5400ef27-9728-4005-b5b0-818b0284def9" ] }, { "id" : "ITEM-3", "itemData" : { "DOI" : "10.1002/aic.690480218", "ISBN" : "1547-5905", "ISSN" : "00011541", "abstract" : "Velocity and residence time distributions play a crucial role in the performance of microreactors for chemical synthesis. The specific features of fluid flow through multi- platemicrochannel reactors are examined by an approximate pressure drop model whose alidity is confirmed through comparison with more detailed finite-olume calculations. The model results allow for determination of the influence of the geometrical character- istics of the microchannel structures on the flow distributions and are used to optimize the reactor design for maximum flow uniformity.", "author" : [ { "dropping-particle" : "", "family" : "Commenge", "given" : "J. M.", "non-dropping-particle" : "", "parse-names" : false, "suffix" : "" }, { "dropping-particle" : "", "family" : "Falk", "given" : "L.", "non-dropping-particle" : "", "parse-names" : false, "suffix" : "" }, { "dropping-particle" : "", "family" : "Corriou", "given" : "J. P.", "non-dropping-particle" : "", "parse-names" : false, "suffix" : "" }, { "dropping-particle" : "", "family" : "Matlosz", "given" : "M.", "non-dropping-particle" : "", "parse-names" : false, "suffix" : "" } ], "container-title" : "AIChE Journal", "id" : "ITEM-3", "issue" : "2", "issued" : { "date-parts" : [ [ "2002" ] ] }, "page" : "345-358", "title" : "Optimal Design for Flow Uniformity in Microchannel Reactors", "type" : "article-journal", "volume" : "48" }, "uris" : [ "http://www.mendeley.com/documents/?uuid=4c136a7f-2127-4d48-8fcb-2f80cd4df449" ] }, { "id" : "ITEM-4", "itemData" : { "DOI" : "10.1115/1.1787506", "ISBN" : "0742-4795", "ISSN" : "07424795", "abstract" : "The competition to deliver ultra low emitting vehicles at a reasonable cost is driving the automotive industry to invest significant manpower and test lab resources in the design optimization of increasingly complex exhaust aftertreatment systems. Optimization can no longer be based on traditional approaches, which are intensive in hardware use and lab testing. This paper discusses the extents and limitations of applicability of state-of-the-art mathematical models of catalytic converter performance. In-house software from the authors' lab, already in use during the last decade in design optimization studies, updated with recent, important model improvements, is employed as a reference in this discussion. Emphasis is on the engineering methodology of the computational tools and their application, which covers quality assurance of input data, advanced parameter estimation procedures, and a suggested performance measure that drives the parameter estimation code to optimum results and also allows a less subjective assessment of model prediction accuracy. Extensive comparisons between measured and computed instantaneous emissions over full cycles are presented, aiming to give a good picture of the capabilities of state of the art engineering models of automotive catalytic converter systems.", "author" : [ { "dropping-particle" : "", "family" : "Pontikakis", "given" : "G. N.", "non-dropping-particle" : "", "parse-names" : false, "suffix" : "" }, { "dropping-particle" : "", "family" : "Konstantas", "given" : "G. S.", "non-dropping-particle" : "", "parse-names" : false, "suffix" : "" }, { "dropping-particle" : "", "family" : "Stamatelos", "given" : "a. M.", "non-dropping-particle" : "", "parse-names" : false, "suffix" : "" } ], "container-title" : "Journal of Engineering for Gas Turbines and Power", "id" : "ITEM-4", "issue" : "4", "issued" : { "date-parts" : [ [ "2004" ] ] }, "page" : "906", "title" : "Three-Way Catalytic Converter Modeling as a Modern Engineering Design Tool", "type" : "article-journal", "volume" : "126" }, "uris" : [ "http://www.mendeley.com/documents/?uuid=b441f46f-6ae8-443e-a644-0fa506f60828" ] } ], "mendeley" : { "formattedCitation" : "[34,43\u201345]", "plainTextFormattedCitation" : "[34,43\u201345]", "previouslyFormattedCitation" : "[34,43\u201345]" }, "properties" : { "noteIndex" : 0 }, "schema" : "https://github.com/citation-style-language/schema/raw/master/csl-citation.json" }</w:instrText>
      </w:r>
      <w:r>
        <w:rPr>
          <w:lang w:val="en-US" w:eastAsia="en-ZA" w:bidi="en-US"/>
        </w:rPr>
        <w:fldChar w:fldCharType="separate"/>
      </w:r>
      <w:r>
        <w:rPr>
          <w:noProof/>
          <w:lang w:val="en-US" w:eastAsia="en-ZA" w:bidi="en-US"/>
        </w:rPr>
        <w:t>[34,42–44]</w:t>
      </w:r>
      <w:r>
        <w:rPr>
          <w:lang w:val="en-US" w:eastAsia="en-ZA" w:bidi="en-US"/>
        </w:rPr>
        <w:fldChar w:fldCharType="end"/>
      </w:r>
      <w:r>
        <w:rPr>
          <w:lang w:val="en-US" w:eastAsia="en-ZA" w:bidi="en-US"/>
        </w:rPr>
        <w:t xml:space="preserve">. In addition, symmetry was </w:t>
      </w:r>
      <w:r>
        <w:rPr>
          <w:lang w:val="en-US" w:eastAsia="en-ZA" w:bidi="en-US"/>
        </w:rPr>
        <w:lastRenderedPageBreak/>
        <w:t>imposed at the half-width of the rectangular microchannel. The model geometry consisted of a free-fluid region together with a porous catalytic washcoat layer (δ</w:t>
      </w:r>
      <w:r>
        <w:rPr>
          <w:vertAlign w:val="subscript"/>
          <w:lang w:val="en-US" w:eastAsia="en-ZA" w:bidi="en-US"/>
        </w:rPr>
        <w:t>s</w:t>
      </w:r>
      <w:r>
        <w:rPr>
          <w:lang w:val="en-US" w:eastAsia="en-ZA" w:bidi="en-US"/>
        </w:rPr>
        <w:t xml:space="preserve"> = 40 µm). </w:t>
      </w:r>
    </w:p>
    <w:p>
      <w:pPr>
        <w:jc w:val="center"/>
        <w:rPr>
          <w:sz w:val="18"/>
          <w:vertAlign w:val="superscript"/>
          <w:lang w:val="en-US" w:eastAsia="en-ZA" w:bidi="en-US"/>
        </w:rPr>
      </w:pPr>
      <w:r>
        <w:rPr>
          <w:b/>
          <w:sz w:val="18"/>
          <w:lang w:val="en-US" w:eastAsia="en-ZA" w:bidi="en-US"/>
        </w:rPr>
        <w:t>Figure 3:</w:t>
      </w:r>
      <w:r>
        <w:rPr>
          <w:sz w:val="18"/>
          <w:lang w:val="en-US" w:eastAsia="en-ZA" w:bidi="en-US"/>
        </w:rPr>
        <w:t xml:space="preserve"> Discretized microchannel model geometry used for CFD modelling. An adaptive mesh consisting of 43 520 free-triangular elements was used.</w:t>
      </w:r>
    </w:p>
    <w:p>
      <w:pPr>
        <w:pStyle w:val="Heading3"/>
        <w:rPr>
          <w:lang w:val="en-US" w:eastAsia="en-ZA" w:bidi="en-US"/>
        </w:rPr>
      </w:pPr>
      <w:r>
        <w:rPr>
          <w:lang w:val="en-US" w:eastAsia="en-ZA" w:bidi="en-US"/>
        </w:rPr>
        <w:t>2.2.2 Governing equations, model assumptions, and boundary conditions</w:t>
      </w:r>
    </w:p>
    <w:p>
      <w:pPr>
        <w:spacing w:line="480" w:lineRule="auto"/>
        <w:ind w:firstLine="720"/>
        <w:rPr>
          <w:lang w:val="en-US" w:eastAsia="en-ZA" w:bidi="en-US"/>
        </w:rPr>
      </w:pPr>
      <w:r>
        <w:rPr>
          <w:lang w:val="en-US" w:eastAsia="en-ZA" w:bidi="en-US"/>
        </w:rPr>
        <w:t xml:space="preserve">Partial differential equations (Table 1) were used to describe the respective continuity, momentum, mass and energy conservation. The fluid flow was assumed weakly compressible, steady and laminar. Also, the multicomponent gas mixture was taken as an ideal gas. In addition, the catalyst washcoat was modelled as a pseudo-homogenous porous media where the morphological properties (porosity and permeability) of the washcoat were assumed constant. Furthermore, local thermal equilibrium was assumed to exist within the catalyst washcoat. The reactions were considered to take place in the porous catalyst washcoat and so, any homogeneous gas-phase reactions were ignored. </w:t>
      </w:r>
    </w:p>
    <w:tbl>
      <w:tblPr>
        <w:tblStyle w:val="TableGrid"/>
        <w:tblW w:w="4966" w:type="pct"/>
        <w:tblLook w:val="04A0" w:firstRow="1" w:lastRow="0" w:firstColumn="1" w:lastColumn="0" w:noHBand="0" w:noVBand="1"/>
      </w:tblPr>
      <w:tblGrid>
        <w:gridCol w:w="4362"/>
        <w:gridCol w:w="4817"/>
      </w:tblGrid>
      <w:tr>
        <w:trPr>
          <w:trHeight w:hRule="exact" w:val="567"/>
        </w:trPr>
        <w:tc>
          <w:tcPr>
            <w:tcW w:w="5000" w:type="pct"/>
            <w:gridSpan w:val="2"/>
            <w:shd w:val="clear" w:color="auto" w:fill="BFBFBF" w:themeFill="background1" w:themeFillShade="BF"/>
            <w:vAlign w:val="center"/>
          </w:tcPr>
          <w:p>
            <w:pPr>
              <w:jc w:val="left"/>
              <w:rPr>
                <w:rFonts w:cs="Arial"/>
                <w:b/>
                <w:sz w:val="18"/>
                <w:lang w:val="en-US" w:eastAsia="en-ZA" w:bidi="en-US"/>
              </w:rPr>
            </w:pPr>
            <w:r>
              <w:rPr>
                <w:rFonts w:cs="Arial"/>
                <w:b/>
                <w:sz w:val="18"/>
                <w:lang w:val="en-US" w:eastAsia="en-ZA" w:bidi="en-US"/>
              </w:rPr>
              <w:t>Table 1:</w:t>
            </w:r>
            <w:r>
              <w:rPr>
                <w:rFonts w:cs="Arial"/>
                <w:sz w:val="18"/>
                <w:lang w:val="en-US" w:eastAsia="en-ZA" w:bidi="en-US"/>
              </w:rPr>
              <w:t xml:space="preserve"> Summary of governing equations for modelling </w:t>
            </w:r>
            <w:r>
              <w:rPr>
                <w:sz w:val="18"/>
                <w:lang w:val="en-US" w:eastAsia="en-ZA" w:bidi="en-US"/>
              </w:rPr>
              <w:t xml:space="preserve">the free-fluid and porous catalyst computational domains </w:t>
            </w:r>
            <w:r>
              <w:rPr>
                <w:sz w:val="18"/>
                <w:lang w:val="en-US" w:eastAsia="en-ZA" w:bidi="en-US"/>
              </w:rPr>
              <w:fldChar w:fldCharType="begin" w:fldLock="1"/>
            </w:r>
            <w:r>
              <w:rPr>
                <w:sz w:val="18"/>
                <w:lang w:val="en-US" w:eastAsia="en-ZA" w:bidi="en-US"/>
              </w:rPr>
              <w:instrText>ADDIN CSL_CITATION { "citationItems" : [ { "id" : "ITEM-1", "itemData" : { "DOI" : "10.1016/j.ijhydene.2014.05.146", "ISBN" : "03603199", "ISSN" : "03603199", "abstract" : "Hydrogen production from an ammonia-fuelled microchannel reactor is simulated in a three-dimensional (3D) model implemented via Comsol Multiphysics???. The work described in this paper endeavours to obtain a mathematical framework that provides an understanding of reaction-coupled transport phenomena within the microchannel reactor. The transport processes and reactor performance are elucidated in terms of velocity, temperature, and species concentration distributions, as well as local reaction rate and NH 3 conversion profiles. The baseline case is first investigated to comprehend the behaviour of the microchannel reactor, then microstructural design and operating parameters are methodically altered around the baseline conditions to explore the optimum values. The simulation results show that an optimum NH3 space velocity (GHSV) of 65,000 Nml gcat -1 h-1 yields 99.1% NH3 conversion and a power density of 32 kWe L-1 at the highest operating temperature of 973 K. It is also shown that a 40-??m-thick porous washcoat is most desirable at these optimum conditions. Finally, a low channel hydraulic diameter (225 ??m) is observed to contribute to high NH3 conversion. Mass transport limitations in the porous-washcoat and gas-phase are negligible as depicted by the Damk??hler and Fourier numbers, respectively. The experimental microchannel reactor yields 98.2% NH3 conversion and a power density of 30.8 kWe L-1 when tested at the optimum operating conditions established by the model. Good agreement with experimental data is observed, so the integrated experimental-modelling approach developed in this paper may well provide an incisive step toward the efficient design of ammonia-fuelled microchannel reformers. Copyright ?? 2014, Hydrogen Energy Publications, LLC. Published by Elsevier Ltd. All rights reserved.", "author" : [ { "dropping-particle" : "", "family" : "Chiuta", "given" : "Steven", "non-dropping-particle" : "", "parse-names" : false, "suffix" : "" }, { "dropping-particle" : "", "family" : "Everson", "given" : "Raymond C.", "non-dropping-particle" : "", "parse-names" : false, "suffix" : "" }, { "dropping-particle" : "", "family" : "Neomagus", "given" : "Hein W J P", "non-dropping-particle" : "", "parse-names" : false, "suffix" : "" }, { "dropping-particle" : "", "family" : "Grange", "given" : "Louis A.", "non-dropping-particle" : "Le", "parse-names" : false, "suffix" : "" }, { "dropping-particle" : "", "family" : "Bessarabov", "given" : "Dmitri G.", "non-dropping-particle" : "", "parse-names" : false, "suffix" : "" } ], "container-title" : "International Journal of Hydrogen Energy", "id" : "ITEM-1", "issue" : "22", "issued" : { "date-parts" : [ [ "2014" ] ] }, "page" : "11390-11402", "publisher" : "Elsevier Ltd", "title" : "A modelling evaluation of an ammonia-fuelled microchannel reformer for hydrogen generation", "type" : "article-journal", "volume" : "39" }, "uris" : [ "http://www.mendeley.com/documents/?uuid=8c82eb68-c516-4bba-939a-d0f0878b2e5a" ] } ], "mendeley" : { "formattedCitation" : "[34]", "plainTextFormattedCitation" : "[34]" }, "properties" : { "noteIndex" : 0 }, "schema" : "https://github.com/citation-style-language/schema/raw/master/csl-citation.json" }</w:instrText>
            </w:r>
            <w:r>
              <w:rPr>
                <w:sz w:val="18"/>
                <w:lang w:val="en-US" w:eastAsia="en-ZA" w:bidi="en-US"/>
              </w:rPr>
              <w:fldChar w:fldCharType="separate"/>
            </w:r>
            <w:r>
              <w:rPr>
                <w:noProof/>
                <w:sz w:val="18"/>
                <w:lang w:val="en-US" w:eastAsia="en-ZA" w:bidi="en-US"/>
              </w:rPr>
              <w:t>[34]</w:t>
            </w:r>
            <w:r>
              <w:rPr>
                <w:sz w:val="18"/>
                <w:lang w:val="en-US" w:eastAsia="en-ZA" w:bidi="en-US"/>
              </w:rPr>
              <w:fldChar w:fldCharType="end"/>
            </w:r>
          </w:p>
        </w:tc>
      </w:tr>
      <w:tr>
        <w:trPr>
          <w:trHeight w:hRule="exact" w:val="567"/>
        </w:trPr>
        <w:tc>
          <w:tcPr>
            <w:tcW w:w="2376" w:type="pct"/>
            <w:shd w:val="clear" w:color="auto" w:fill="F2F2F2" w:themeFill="background1" w:themeFillShade="F2"/>
            <w:vAlign w:val="center"/>
          </w:tcPr>
          <w:p>
            <w:pPr>
              <w:jc w:val="left"/>
              <w:rPr>
                <w:rFonts w:cs="Arial"/>
                <w:sz w:val="18"/>
                <w:lang w:val="en-US" w:eastAsia="en-ZA" w:bidi="en-US"/>
              </w:rPr>
            </w:pPr>
            <w:r>
              <w:rPr>
                <w:rFonts w:cs="Arial"/>
                <w:sz w:val="18"/>
                <w:lang w:val="en-US" w:eastAsia="en-ZA" w:bidi="en-US"/>
              </w:rPr>
              <w:t>Ideal gas law</w:t>
            </w:r>
          </w:p>
        </w:tc>
        <w:tc>
          <w:tcPr>
            <w:tcW w:w="2624" w:type="pct"/>
            <w:shd w:val="clear" w:color="auto" w:fill="F2F2F2" w:themeFill="background1" w:themeFillShade="F2"/>
            <w:vAlign w:val="center"/>
          </w:tcPr>
          <w:p>
            <w:pPr>
              <w:jc w:val="left"/>
              <w:rPr>
                <w:rFonts w:cs="Arial"/>
                <w:sz w:val="18"/>
                <w:lang w:val="en-US" w:eastAsia="en-ZA" w:bidi="en-US"/>
              </w:rPr>
            </w:pPr>
            <m:oMathPara>
              <m:oMath>
                <m:r>
                  <w:rPr>
                    <w:rFonts w:ascii="Cambria Math" w:hAnsi="Cambria Math" w:cs="Arial"/>
                    <w:sz w:val="18"/>
                    <w:lang w:val="en-US" w:eastAsia="en-ZA" w:bidi="en-US"/>
                  </w:rPr>
                  <m:t xml:space="preserve">ρ= </m:t>
                </m:r>
                <m:f>
                  <m:fPr>
                    <m:ctrlPr>
                      <w:rPr>
                        <w:rFonts w:ascii="Cambria Math" w:hAnsi="Cambria Math" w:cs="Arial"/>
                        <w:i/>
                        <w:sz w:val="18"/>
                        <w:lang w:val="en-US" w:eastAsia="en-ZA" w:bidi="en-US"/>
                      </w:rPr>
                    </m:ctrlPr>
                  </m:fPr>
                  <m:num>
                    <m:r>
                      <w:rPr>
                        <w:rFonts w:ascii="Cambria Math" w:hAnsi="Cambria Math" w:cs="Arial"/>
                        <w:sz w:val="18"/>
                        <w:lang w:val="en-US" w:eastAsia="en-ZA" w:bidi="en-US"/>
                      </w:rPr>
                      <m:t>P</m:t>
                    </m:r>
                  </m:num>
                  <m:den>
                    <m:r>
                      <w:rPr>
                        <w:rFonts w:ascii="Cambria Math" w:hAnsi="Cambria Math" w:cs="Arial"/>
                        <w:sz w:val="18"/>
                        <w:lang w:val="en-US" w:eastAsia="en-ZA" w:bidi="en-US"/>
                      </w:rPr>
                      <m:t>RT</m:t>
                    </m:r>
                  </m:den>
                </m:f>
                <m:nary>
                  <m:naryPr>
                    <m:chr m:val="∑"/>
                    <m:limLoc m:val="subSup"/>
                    <m:ctrlPr>
                      <w:rPr>
                        <w:rFonts w:ascii="Cambria Math" w:hAnsi="Cambria Math" w:cs="Arial"/>
                        <w:i/>
                        <w:sz w:val="18"/>
                        <w:lang w:val="en-US" w:eastAsia="en-ZA" w:bidi="en-US"/>
                      </w:rPr>
                    </m:ctrlPr>
                  </m:naryPr>
                  <m:sub>
                    <m:r>
                      <w:rPr>
                        <w:rFonts w:ascii="Cambria Math" w:hAnsi="Cambria Math" w:cs="Arial"/>
                        <w:sz w:val="18"/>
                        <w:lang w:val="en-US" w:eastAsia="en-ZA" w:bidi="en-US"/>
                      </w:rPr>
                      <m:t>i=1</m:t>
                    </m:r>
                  </m:sub>
                  <m:sup>
                    <m:r>
                      <w:rPr>
                        <w:rFonts w:ascii="Cambria Math" w:hAnsi="Cambria Math" w:cs="Arial"/>
                        <w:sz w:val="18"/>
                        <w:lang w:val="en-US" w:eastAsia="en-ZA" w:bidi="en-US"/>
                      </w:rPr>
                      <m:t>5</m:t>
                    </m:r>
                  </m:sup>
                  <m:e>
                    <m:sSub>
                      <m:sSubPr>
                        <m:ctrlPr>
                          <w:rPr>
                            <w:rFonts w:ascii="Cambria Math" w:hAnsi="Cambria Math" w:cs="Arial"/>
                            <w:i/>
                            <w:sz w:val="18"/>
                            <w:lang w:val="en-US" w:eastAsia="en-ZA" w:bidi="en-US"/>
                          </w:rPr>
                        </m:ctrlPr>
                      </m:sSubPr>
                      <m:e>
                        <m:r>
                          <w:rPr>
                            <w:rFonts w:ascii="Cambria Math" w:hAnsi="Cambria Math" w:cs="Arial"/>
                            <w:sz w:val="18"/>
                            <w:lang w:val="en-US" w:eastAsia="en-ZA" w:bidi="en-US"/>
                          </w:rPr>
                          <m:t>y</m:t>
                        </m:r>
                      </m:e>
                      <m:sub>
                        <m:r>
                          <w:rPr>
                            <w:rFonts w:ascii="Cambria Math" w:hAnsi="Cambria Math" w:cs="Arial"/>
                            <w:sz w:val="18"/>
                            <w:lang w:val="en-US" w:eastAsia="en-ZA" w:bidi="en-US"/>
                          </w:rPr>
                          <m:t>i</m:t>
                        </m:r>
                      </m:sub>
                    </m:sSub>
                    <m:sSub>
                      <m:sSubPr>
                        <m:ctrlPr>
                          <w:rPr>
                            <w:rFonts w:ascii="Cambria Math" w:hAnsi="Cambria Math" w:cs="Arial"/>
                            <w:i/>
                            <w:sz w:val="18"/>
                            <w:lang w:val="en-US" w:eastAsia="en-ZA" w:bidi="en-US"/>
                          </w:rPr>
                        </m:ctrlPr>
                      </m:sSubPr>
                      <m:e>
                        <m:r>
                          <w:rPr>
                            <w:rFonts w:ascii="Cambria Math" w:hAnsi="Cambria Math" w:cs="Arial"/>
                            <w:sz w:val="18"/>
                            <w:lang w:val="en-US" w:eastAsia="en-ZA" w:bidi="en-US"/>
                          </w:rPr>
                          <m:t>M</m:t>
                        </m:r>
                      </m:e>
                      <m:sub>
                        <m:r>
                          <w:rPr>
                            <w:rFonts w:ascii="Cambria Math" w:hAnsi="Cambria Math" w:cs="Arial"/>
                            <w:sz w:val="18"/>
                            <w:lang w:val="en-US" w:eastAsia="en-ZA" w:bidi="en-US"/>
                          </w:rPr>
                          <m:t>i</m:t>
                        </m:r>
                      </m:sub>
                    </m:sSub>
                  </m:e>
                </m:nary>
              </m:oMath>
            </m:oMathPara>
          </w:p>
        </w:tc>
      </w:tr>
      <w:tr>
        <w:trPr>
          <w:trHeight w:hRule="exact" w:val="295"/>
        </w:trPr>
        <w:tc>
          <w:tcPr>
            <w:tcW w:w="5000" w:type="pct"/>
            <w:gridSpan w:val="2"/>
            <w:shd w:val="clear" w:color="auto" w:fill="BFBFBF" w:themeFill="background1" w:themeFillShade="BF"/>
            <w:vAlign w:val="center"/>
          </w:tcPr>
          <w:p>
            <w:pPr>
              <w:jc w:val="left"/>
              <w:rPr>
                <w:rFonts w:cs="Arial"/>
                <w:b/>
                <w:sz w:val="18"/>
                <w:lang w:val="en-US" w:eastAsia="en-ZA" w:bidi="en-US"/>
              </w:rPr>
            </w:pPr>
            <w:r>
              <w:rPr>
                <w:rFonts w:cs="Arial"/>
                <w:b/>
                <w:sz w:val="18"/>
                <w:lang w:val="en-US" w:eastAsia="en-ZA" w:bidi="en-US"/>
              </w:rPr>
              <w:t>Free-fluid phase</w:t>
            </w:r>
          </w:p>
        </w:tc>
      </w:tr>
      <w:tr>
        <w:trPr>
          <w:trHeight w:hRule="exact" w:val="295"/>
        </w:trPr>
        <w:tc>
          <w:tcPr>
            <w:tcW w:w="2376" w:type="pct"/>
            <w:shd w:val="clear" w:color="auto" w:fill="F2F2F2" w:themeFill="background1" w:themeFillShade="F2"/>
            <w:vAlign w:val="center"/>
          </w:tcPr>
          <w:p>
            <w:pPr>
              <w:jc w:val="left"/>
              <w:rPr>
                <w:rFonts w:cs="Arial"/>
                <w:sz w:val="18"/>
                <w:lang w:val="en-US" w:eastAsia="en-ZA" w:bidi="en-US"/>
              </w:rPr>
            </w:pPr>
            <w:r>
              <w:rPr>
                <w:rFonts w:cs="Arial"/>
                <w:sz w:val="18"/>
                <w:lang w:val="en-US" w:eastAsia="en-ZA" w:bidi="en-US"/>
              </w:rPr>
              <w:t>Continuity equation</w:t>
            </w:r>
          </w:p>
        </w:tc>
        <w:tc>
          <w:tcPr>
            <w:tcW w:w="2624" w:type="pct"/>
            <w:shd w:val="clear" w:color="auto" w:fill="F2F2F2" w:themeFill="background1" w:themeFillShade="F2"/>
            <w:vAlign w:val="center"/>
          </w:tcPr>
          <w:p>
            <w:pPr>
              <w:jc w:val="left"/>
              <w:rPr>
                <w:rFonts w:cs="Arial"/>
                <w:sz w:val="18"/>
                <w:lang w:val="en-US" w:eastAsia="en-ZA" w:bidi="en-US"/>
              </w:rPr>
            </w:pPr>
            <m:oMathPara>
              <m:oMath>
                <m:r>
                  <m:rPr>
                    <m:sty m:val="p"/>
                  </m:rPr>
                  <w:rPr>
                    <w:rFonts w:ascii="Cambria Math" w:hAnsi="Cambria Math" w:cs="Arial"/>
                    <w:sz w:val="18"/>
                    <w:lang w:val="en-US" w:eastAsia="en-ZA" w:bidi="en-US"/>
                  </w:rPr>
                  <m:t>∇∙(</m:t>
                </m:r>
                <m:r>
                  <w:rPr>
                    <w:rFonts w:ascii="Cambria Math" w:hAnsi="Cambria Math" w:cs="Arial"/>
                    <w:sz w:val="18"/>
                    <w:lang w:val="en-US" w:eastAsia="en-ZA" w:bidi="en-US"/>
                  </w:rPr>
                  <m:t>ρ</m:t>
                </m:r>
                <m:r>
                  <m:rPr>
                    <m:sty m:val="b"/>
                  </m:rPr>
                  <w:rPr>
                    <w:rFonts w:ascii="Cambria Math" w:hAnsi="Cambria Math" w:cs="Arial"/>
                    <w:sz w:val="18"/>
                    <w:lang w:val="en-US" w:eastAsia="en-ZA" w:bidi="en-US"/>
                  </w:rPr>
                  <m:t>u</m:t>
                </m:r>
                <m:r>
                  <m:rPr>
                    <m:sty m:val="p"/>
                  </m:rPr>
                  <w:rPr>
                    <w:rFonts w:ascii="Cambria Math" w:hAnsi="Cambria Math" w:cs="Arial"/>
                    <w:sz w:val="18"/>
                    <w:lang w:val="en-US" w:eastAsia="en-ZA" w:bidi="en-US"/>
                  </w:rPr>
                  <m:t>)=0</m:t>
                </m:r>
              </m:oMath>
            </m:oMathPara>
          </w:p>
        </w:tc>
      </w:tr>
      <w:tr>
        <w:trPr>
          <w:trHeight w:hRule="exact" w:val="295"/>
        </w:trPr>
        <w:tc>
          <w:tcPr>
            <w:tcW w:w="2376" w:type="pct"/>
            <w:shd w:val="clear" w:color="auto" w:fill="F2F2F2" w:themeFill="background1" w:themeFillShade="F2"/>
            <w:vAlign w:val="center"/>
          </w:tcPr>
          <w:p>
            <w:pPr>
              <w:jc w:val="left"/>
              <w:rPr>
                <w:rFonts w:cs="Arial"/>
                <w:sz w:val="18"/>
                <w:lang w:val="en-US" w:eastAsia="en-ZA" w:bidi="en-US"/>
              </w:rPr>
            </w:pPr>
            <w:r>
              <w:rPr>
                <w:rFonts w:cs="Arial"/>
                <w:sz w:val="18"/>
                <w:lang w:val="en-US" w:eastAsia="en-ZA" w:bidi="en-US"/>
              </w:rPr>
              <w:t>Navier-Stokes momentum equation</w:t>
            </w:r>
          </w:p>
        </w:tc>
        <w:tc>
          <w:tcPr>
            <w:tcW w:w="2624" w:type="pct"/>
            <w:shd w:val="clear" w:color="auto" w:fill="F2F2F2" w:themeFill="background1" w:themeFillShade="F2"/>
            <w:vAlign w:val="center"/>
          </w:tcPr>
          <w:p>
            <w:pPr>
              <w:jc w:val="left"/>
              <w:rPr>
                <w:rFonts w:cs="Arial"/>
                <w:sz w:val="18"/>
                <w:lang w:val="en-US" w:eastAsia="en-ZA" w:bidi="en-US"/>
              </w:rPr>
            </w:pPr>
            <m:oMathPara>
              <m:oMath>
                <m:r>
                  <m:rPr>
                    <m:sty m:val="b"/>
                  </m:rPr>
                  <w:rPr>
                    <w:rFonts w:ascii="Cambria Math" w:hAnsi="Cambria Math" w:cs="Arial"/>
                    <w:sz w:val="18"/>
                    <w:lang w:val="en-US" w:eastAsia="en-ZA" w:bidi="en-US"/>
                  </w:rPr>
                  <m:t>u</m:t>
                </m:r>
                <m:r>
                  <m:rPr>
                    <m:sty m:val="p"/>
                  </m:rPr>
                  <w:rPr>
                    <w:rFonts w:ascii="Cambria Math" w:hAnsi="Cambria Math" w:cs="Arial"/>
                    <w:sz w:val="18"/>
                    <w:lang w:val="en-US" w:eastAsia="en-ZA" w:bidi="en-US"/>
                  </w:rPr>
                  <m:t>∙∇(</m:t>
                </m:r>
                <m:r>
                  <w:rPr>
                    <w:rFonts w:ascii="Cambria Math" w:hAnsi="Cambria Math" w:cs="Arial"/>
                    <w:sz w:val="18"/>
                    <w:lang w:val="en-US" w:eastAsia="en-ZA" w:bidi="en-US"/>
                  </w:rPr>
                  <m:t>ρ</m:t>
                </m:r>
                <m:r>
                  <m:rPr>
                    <m:sty m:val="b"/>
                  </m:rPr>
                  <w:rPr>
                    <w:rFonts w:ascii="Cambria Math" w:hAnsi="Cambria Math" w:cs="Arial"/>
                    <w:sz w:val="18"/>
                    <w:lang w:val="en-US" w:eastAsia="en-ZA" w:bidi="en-US"/>
                  </w:rPr>
                  <m:t>u</m:t>
                </m:r>
                <m:r>
                  <m:rPr>
                    <m:sty m:val="p"/>
                  </m:rPr>
                  <w:rPr>
                    <w:rFonts w:ascii="Cambria Math" w:hAnsi="Cambria Math" w:cs="Arial"/>
                    <w:sz w:val="18"/>
                    <w:lang w:val="en-US" w:eastAsia="en-ZA" w:bidi="en-US"/>
                  </w:rPr>
                  <m:t>)= -∇P+ ∇</m:t>
                </m:r>
                <m:r>
                  <w:rPr>
                    <w:rFonts w:ascii="Cambria Math" w:hAnsi="Cambria Math" w:cs="Arial"/>
                    <w:sz w:val="18"/>
                    <w:lang w:val="en-US" w:eastAsia="en-ZA" w:bidi="en-US"/>
                  </w:rPr>
                  <m:t>∙(μ</m:t>
                </m:r>
                <m:r>
                  <m:rPr>
                    <m:sty m:val="p"/>
                  </m:rPr>
                  <w:rPr>
                    <w:rFonts w:ascii="Cambria Math" w:hAnsi="Cambria Math" w:cs="Arial"/>
                    <w:sz w:val="18"/>
                    <w:lang w:val="en-US" w:eastAsia="en-ZA" w:bidi="en-US"/>
                  </w:rPr>
                  <m:t>∇</m:t>
                </m:r>
                <m:r>
                  <m:rPr>
                    <m:sty m:val="b"/>
                  </m:rPr>
                  <w:rPr>
                    <w:rFonts w:ascii="Cambria Math" w:hAnsi="Cambria Math" w:cs="Arial"/>
                    <w:sz w:val="18"/>
                    <w:lang w:val="en-US" w:eastAsia="en-ZA" w:bidi="en-US"/>
                  </w:rPr>
                  <m:t>u</m:t>
                </m:r>
                <m:r>
                  <m:rPr>
                    <m:sty m:val="p"/>
                  </m:rPr>
                  <w:rPr>
                    <w:rFonts w:ascii="Cambria Math" w:hAnsi="Cambria Math" w:cs="Arial"/>
                    <w:sz w:val="18"/>
                    <w:lang w:val="en-US" w:eastAsia="en-ZA" w:bidi="en-US"/>
                  </w:rPr>
                  <m:t>)</m:t>
                </m:r>
              </m:oMath>
            </m:oMathPara>
          </w:p>
        </w:tc>
      </w:tr>
      <w:tr>
        <w:trPr>
          <w:trHeight w:hRule="exact" w:val="295"/>
        </w:trPr>
        <w:tc>
          <w:tcPr>
            <w:tcW w:w="2376" w:type="pct"/>
            <w:shd w:val="clear" w:color="auto" w:fill="F2F2F2" w:themeFill="background1" w:themeFillShade="F2"/>
            <w:vAlign w:val="center"/>
          </w:tcPr>
          <w:p>
            <w:pPr>
              <w:jc w:val="left"/>
              <w:rPr>
                <w:rFonts w:cs="Arial"/>
                <w:sz w:val="18"/>
                <w:lang w:val="en-US" w:eastAsia="en-ZA" w:bidi="en-US"/>
              </w:rPr>
            </w:pPr>
            <w:r>
              <w:rPr>
                <w:rFonts w:cs="Arial"/>
                <w:sz w:val="18"/>
                <w:lang w:val="en-US" w:eastAsia="en-ZA" w:bidi="en-US"/>
              </w:rPr>
              <w:t>Energy equation</w:t>
            </w:r>
          </w:p>
        </w:tc>
        <w:tc>
          <w:tcPr>
            <w:tcW w:w="2624" w:type="pct"/>
            <w:shd w:val="clear" w:color="auto" w:fill="F2F2F2" w:themeFill="background1" w:themeFillShade="F2"/>
            <w:vAlign w:val="center"/>
          </w:tcPr>
          <w:p>
            <w:pPr>
              <w:jc w:val="left"/>
              <w:rPr>
                <w:rFonts w:cs="Arial"/>
                <w:sz w:val="18"/>
                <w:lang w:val="en-US" w:eastAsia="en-ZA" w:bidi="en-US"/>
              </w:rPr>
            </w:pPr>
            <m:oMathPara>
              <m:oMath>
                <m:r>
                  <m:rPr>
                    <m:sty m:val="b"/>
                  </m:rPr>
                  <w:rPr>
                    <w:rFonts w:ascii="Cambria Math" w:hAnsi="Cambria Math" w:cs="Arial"/>
                    <w:sz w:val="18"/>
                    <w:lang w:val="en-US" w:eastAsia="en-ZA" w:bidi="en-US"/>
                  </w:rPr>
                  <m:t>u</m:t>
                </m:r>
                <m:r>
                  <w:rPr>
                    <w:rFonts w:ascii="Cambria Math" w:hAnsi="Cambria Math" w:cs="Arial"/>
                    <w:sz w:val="18"/>
                    <w:lang w:val="en-US" w:eastAsia="en-ZA" w:bidi="en-US"/>
                  </w:rPr>
                  <m:t>∙</m:t>
                </m:r>
                <m:r>
                  <m:rPr>
                    <m:sty m:val="p"/>
                  </m:rPr>
                  <w:rPr>
                    <w:rFonts w:ascii="Cambria Math" w:hAnsi="Cambria Math" w:cs="Arial"/>
                    <w:sz w:val="18"/>
                    <w:lang w:val="en-US" w:eastAsia="en-ZA" w:bidi="en-US"/>
                  </w:rPr>
                  <m:t>∇</m:t>
                </m:r>
                <m:r>
                  <w:rPr>
                    <w:rFonts w:ascii="Cambria Math" w:hAnsi="Cambria Math" w:cs="Arial"/>
                    <w:sz w:val="18"/>
                    <w:lang w:val="en-US" w:eastAsia="en-ZA" w:bidi="en-US"/>
                  </w:rPr>
                  <m:t>T</m:t>
                </m:r>
                <m:r>
                  <m:rPr>
                    <m:sty m:val="p"/>
                  </m:rPr>
                  <w:rPr>
                    <w:rFonts w:ascii="Cambria Math" w:hAnsi="Cambria Math" w:cs="Arial"/>
                    <w:sz w:val="18"/>
                    <w:lang w:val="en-US" w:eastAsia="en-ZA" w:bidi="en-US"/>
                  </w:rPr>
                  <m:t>(</m:t>
                </m:r>
                <m:r>
                  <w:rPr>
                    <w:rFonts w:ascii="Cambria Math" w:hAnsi="Cambria Math" w:cs="Arial"/>
                    <w:sz w:val="18"/>
                    <w:lang w:val="en-US" w:eastAsia="en-ZA" w:bidi="en-US"/>
                  </w:rPr>
                  <m:t>ρ</m:t>
                </m:r>
                <m:sSub>
                  <m:sSubPr>
                    <m:ctrlPr>
                      <w:rPr>
                        <w:rFonts w:ascii="Cambria Math" w:hAnsi="Cambria Math" w:cs="Arial"/>
                        <w:i/>
                        <w:sz w:val="18"/>
                        <w:lang w:val="en-US" w:eastAsia="en-ZA" w:bidi="en-US"/>
                      </w:rPr>
                    </m:ctrlPr>
                  </m:sSubPr>
                  <m:e>
                    <m:r>
                      <w:rPr>
                        <w:rFonts w:ascii="Cambria Math" w:hAnsi="Cambria Math" w:cs="Arial"/>
                        <w:sz w:val="18"/>
                        <w:lang w:val="en-US" w:eastAsia="en-ZA" w:bidi="en-US"/>
                      </w:rPr>
                      <m:t>C</m:t>
                    </m:r>
                  </m:e>
                  <m:sub>
                    <m:r>
                      <w:rPr>
                        <w:rFonts w:ascii="Cambria Math" w:hAnsi="Cambria Math" w:cs="Arial"/>
                        <w:sz w:val="18"/>
                        <w:lang w:val="en-US" w:eastAsia="en-ZA" w:bidi="en-US"/>
                      </w:rPr>
                      <m:t>p</m:t>
                    </m:r>
                  </m:sub>
                </m:sSub>
                <m:r>
                  <w:rPr>
                    <w:rFonts w:ascii="Cambria Math" w:hAnsi="Cambria Math" w:cs="Arial"/>
                    <w:sz w:val="18"/>
                    <w:lang w:val="en-US" w:eastAsia="en-ZA" w:bidi="en-US"/>
                  </w:rPr>
                  <m:t xml:space="preserve">)= </m:t>
                </m:r>
                <m:r>
                  <m:rPr>
                    <m:sty m:val="p"/>
                  </m:rPr>
                  <w:rPr>
                    <w:rFonts w:ascii="Cambria Math" w:hAnsi="Cambria Math" w:cs="Arial"/>
                    <w:sz w:val="18"/>
                    <w:lang w:val="en-US" w:eastAsia="en-ZA" w:bidi="en-US"/>
                  </w:rPr>
                  <m:t>∇</m:t>
                </m:r>
                <m:r>
                  <w:rPr>
                    <w:rFonts w:ascii="Cambria Math" w:hAnsi="Cambria Math" w:cs="Arial"/>
                    <w:sz w:val="18"/>
                    <w:lang w:val="en-US" w:eastAsia="en-ZA" w:bidi="en-US"/>
                  </w:rPr>
                  <m:t>∙</m:t>
                </m:r>
                <m:d>
                  <m:dPr>
                    <m:ctrlPr>
                      <w:rPr>
                        <w:rFonts w:ascii="Cambria Math" w:hAnsi="Cambria Math" w:cs="Arial"/>
                        <w:i/>
                        <w:sz w:val="18"/>
                        <w:lang w:val="en-US" w:eastAsia="en-ZA" w:bidi="en-US"/>
                      </w:rPr>
                    </m:ctrlPr>
                  </m:dPr>
                  <m:e>
                    <m:r>
                      <w:rPr>
                        <w:rFonts w:ascii="Cambria Math" w:hAnsi="Cambria Math" w:cs="Arial"/>
                        <w:sz w:val="18"/>
                        <w:lang w:val="en-US" w:eastAsia="en-ZA" w:bidi="en-US"/>
                      </w:rPr>
                      <m:t>k</m:t>
                    </m:r>
                    <m:r>
                      <m:rPr>
                        <m:sty m:val="p"/>
                      </m:rPr>
                      <w:rPr>
                        <w:rFonts w:ascii="Cambria Math" w:hAnsi="Cambria Math" w:cs="Arial"/>
                        <w:sz w:val="18"/>
                        <w:lang w:val="en-US" w:eastAsia="en-ZA" w:bidi="en-US"/>
                      </w:rPr>
                      <m:t>∇</m:t>
                    </m:r>
                    <m:r>
                      <w:rPr>
                        <w:rFonts w:ascii="Cambria Math" w:hAnsi="Cambria Math" w:cs="Arial"/>
                        <w:sz w:val="18"/>
                        <w:lang w:val="en-US" w:eastAsia="en-ZA" w:bidi="en-US"/>
                      </w:rPr>
                      <m:t>T</m:t>
                    </m:r>
                  </m:e>
                </m:d>
              </m:oMath>
            </m:oMathPara>
          </w:p>
        </w:tc>
      </w:tr>
      <w:tr>
        <w:trPr>
          <w:trHeight w:hRule="exact" w:val="295"/>
        </w:trPr>
        <w:tc>
          <w:tcPr>
            <w:tcW w:w="2376" w:type="pct"/>
            <w:shd w:val="clear" w:color="auto" w:fill="F2F2F2" w:themeFill="background1" w:themeFillShade="F2"/>
            <w:vAlign w:val="center"/>
          </w:tcPr>
          <w:p>
            <w:pPr>
              <w:jc w:val="left"/>
              <w:rPr>
                <w:rFonts w:cs="Arial"/>
                <w:sz w:val="18"/>
                <w:lang w:val="en-US" w:eastAsia="en-ZA" w:bidi="en-US"/>
              </w:rPr>
            </w:pPr>
            <w:r>
              <w:rPr>
                <w:rFonts w:cs="Arial"/>
                <w:sz w:val="18"/>
                <w:lang w:val="en-US" w:eastAsia="en-ZA" w:bidi="en-US"/>
              </w:rPr>
              <w:t>Species continuity equation</w:t>
            </w:r>
          </w:p>
        </w:tc>
        <w:tc>
          <w:tcPr>
            <w:tcW w:w="2624" w:type="pct"/>
            <w:shd w:val="clear" w:color="auto" w:fill="F2F2F2" w:themeFill="background1" w:themeFillShade="F2"/>
            <w:vAlign w:val="center"/>
          </w:tcPr>
          <w:p>
            <w:pPr>
              <w:jc w:val="left"/>
              <w:rPr>
                <w:rFonts w:cs="Arial"/>
                <w:sz w:val="18"/>
                <w:lang w:val="en-US" w:eastAsia="en-ZA" w:bidi="en-US"/>
              </w:rPr>
            </w:pPr>
            <m:oMathPara>
              <m:oMath>
                <m:r>
                  <m:rPr>
                    <m:sty m:val="b"/>
                  </m:rPr>
                  <w:rPr>
                    <w:rFonts w:ascii="Cambria Math" w:hAnsi="Cambria Math" w:cs="Arial"/>
                    <w:sz w:val="18"/>
                    <w:lang w:val="en-US" w:eastAsia="en-ZA" w:bidi="en-US"/>
                  </w:rPr>
                  <m:t>u</m:t>
                </m:r>
                <m:r>
                  <m:rPr>
                    <m:sty m:val="p"/>
                  </m:rPr>
                  <w:rPr>
                    <w:rFonts w:ascii="Cambria Math" w:hAnsi="Cambria Math" w:cs="Arial"/>
                    <w:sz w:val="18"/>
                    <w:lang w:val="en-US" w:eastAsia="en-ZA" w:bidi="en-US"/>
                  </w:rPr>
                  <m:t>∙∇</m:t>
                </m:r>
                <m:d>
                  <m:dPr>
                    <m:ctrlPr>
                      <w:rPr>
                        <w:rFonts w:ascii="Cambria Math" w:hAnsi="Cambria Math" w:cs="Arial"/>
                        <w:sz w:val="18"/>
                        <w:lang w:val="en-US" w:eastAsia="en-ZA" w:bidi="en-US"/>
                      </w:rPr>
                    </m:ctrlPr>
                  </m:dPr>
                  <m:e>
                    <m:r>
                      <w:rPr>
                        <w:rFonts w:ascii="Cambria Math" w:hAnsi="Cambria Math" w:cs="Arial"/>
                        <w:sz w:val="18"/>
                        <w:lang w:val="en-US" w:eastAsia="en-ZA" w:bidi="en-US"/>
                      </w:rPr>
                      <m:t>ρ</m:t>
                    </m:r>
                    <m:sSub>
                      <m:sSubPr>
                        <m:ctrlPr>
                          <w:rPr>
                            <w:rFonts w:ascii="Cambria Math" w:hAnsi="Cambria Math" w:cs="Arial"/>
                            <w:sz w:val="18"/>
                            <w:lang w:val="en-US" w:eastAsia="en-ZA" w:bidi="en-US"/>
                          </w:rPr>
                        </m:ctrlPr>
                      </m:sSubPr>
                      <m:e>
                        <m:r>
                          <m:rPr>
                            <m:sty m:val="p"/>
                          </m:rPr>
                          <w:rPr>
                            <w:rFonts w:ascii="Cambria Math" w:hAnsi="Cambria Math" w:cs="Arial"/>
                            <w:sz w:val="18"/>
                            <w:lang w:val="en-US" w:eastAsia="en-ZA" w:bidi="en-US"/>
                          </w:rPr>
                          <m:t>ω</m:t>
                        </m:r>
                      </m:e>
                      <m:sub>
                        <m:r>
                          <w:rPr>
                            <w:rFonts w:ascii="Cambria Math" w:hAnsi="Cambria Math" w:cs="Arial"/>
                            <w:sz w:val="18"/>
                            <w:lang w:val="en-US" w:eastAsia="en-ZA" w:bidi="en-US"/>
                          </w:rPr>
                          <m:t>i</m:t>
                        </m:r>
                      </m:sub>
                    </m:sSub>
                  </m:e>
                </m:d>
                <m:r>
                  <m:rPr>
                    <m:sty m:val="p"/>
                  </m:rPr>
                  <w:rPr>
                    <w:rFonts w:ascii="Cambria Math" w:hAnsi="Cambria Math" w:cs="Arial"/>
                    <w:sz w:val="18"/>
                    <w:lang w:val="en-US" w:eastAsia="en-ZA" w:bidi="en-US"/>
                  </w:rPr>
                  <m:t>= ∇∙</m:t>
                </m:r>
                <m:d>
                  <m:dPr>
                    <m:ctrlPr>
                      <w:rPr>
                        <w:rFonts w:ascii="Cambria Math" w:hAnsi="Cambria Math" w:cs="Arial"/>
                        <w:sz w:val="18"/>
                        <w:lang w:val="en-US" w:eastAsia="en-ZA" w:bidi="en-US"/>
                      </w:rPr>
                    </m:ctrlPr>
                  </m:dPr>
                  <m:e>
                    <m:r>
                      <w:rPr>
                        <w:rFonts w:ascii="Cambria Math" w:hAnsi="Cambria Math" w:cs="Arial"/>
                        <w:sz w:val="18"/>
                        <w:lang w:val="en-US" w:eastAsia="en-ZA" w:bidi="en-US"/>
                      </w:rPr>
                      <m:t>ρ</m:t>
                    </m:r>
                    <m:sSub>
                      <m:sSubPr>
                        <m:ctrlPr>
                          <w:rPr>
                            <w:rFonts w:ascii="Cambria Math" w:hAnsi="Cambria Math" w:cs="Arial"/>
                            <w:i/>
                            <w:iCs/>
                            <w:sz w:val="18"/>
                            <w:lang w:val="en-US" w:eastAsia="en-ZA" w:bidi="en-US"/>
                          </w:rPr>
                        </m:ctrlPr>
                      </m:sSubPr>
                      <m:e>
                        <m:r>
                          <w:rPr>
                            <w:rFonts w:ascii="Cambria Math" w:hAnsi="Cambria Math" w:cs="Arial"/>
                            <w:sz w:val="18"/>
                            <w:lang w:val="en-US" w:eastAsia="en-ZA" w:bidi="en-US"/>
                          </w:rPr>
                          <m:t>D</m:t>
                        </m:r>
                      </m:e>
                      <m:sub>
                        <m:r>
                          <w:rPr>
                            <w:rFonts w:ascii="Cambria Math" w:hAnsi="Cambria Math" w:cs="Arial"/>
                            <w:sz w:val="18"/>
                            <w:lang w:val="en-US" w:eastAsia="en-ZA" w:bidi="en-US"/>
                          </w:rPr>
                          <m:t>ij</m:t>
                        </m:r>
                      </m:sub>
                    </m:sSub>
                    <m:r>
                      <m:rPr>
                        <m:sty m:val="p"/>
                      </m:rPr>
                      <w:rPr>
                        <w:rFonts w:ascii="Cambria Math" w:hAnsi="Cambria Math" w:cs="Arial"/>
                        <w:sz w:val="18"/>
                        <w:lang w:val="en-US" w:eastAsia="en-ZA" w:bidi="en-US"/>
                      </w:rPr>
                      <m:t>∇</m:t>
                    </m:r>
                    <m:sSub>
                      <m:sSubPr>
                        <m:ctrlPr>
                          <w:rPr>
                            <w:rFonts w:ascii="Cambria Math" w:hAnsi="Cambria Math" w:cs="Arial"/>
                            <w:sz w:val="18"/>
                            <w:lang w:val="en-US" w:eastAsia="en-ZA" w:bidi="en-US"/>
                          </w:rPr>
                        </m:ctrlPr>
                      </m:sSubPr>
                      <m:e>
                        <m:r>
                          <m:rPr>
                            <m:sty m:val="p"/>
                          </m:rPr>
                          <w:rPr>
                            <w:rFonts w:ascii="Cambria Math" w:hAnsi="Cambria Math" w:cs="Arial"/>
                            <w:sz w:val="18"/>
                            <w:lang w:val="en-US" w:eastAsia="en-ZA" w:bidi="en-US"/>
                          </w:rPr>
                          <m:t>ω</m:t>
                        </m:r>
                      </m:e>
                      <m:sub>
                        <m:r>
                          <w:rPr>
                            <w:rFonts w:ascii="Cambria Math" w:hAnsi="Cambria Math" w:cs="Arial"/>
                            <w:sz w:val="18"/>
                            <w:lang w:val="en-US" w:eastAsia="en-ZA" w:bidi="en-US"/>
                          </w:rPr>
                          <m:t>i</m:t>
                        </m:r>
                      </m:sub>
                    </m:sSub>
                  </m:e>
                </m:d>
              </m:oMath>
            </m:oMathPara>
          </w:p>
        </w:tc>
      </w:tr>
      <w:tr>
        <w:trPr>
          <w:trHeight w:hRule="exact" w:val="295"/>
        </w:trPr>
        <w:tc>
          <w:tcPr>
            <w:tcW w:w="5000" w:type="pct"/>
            <w:gridSpan w:val="2"/>
            <w:shd w:val="clear" w:color="auto" w:fill="BFBFBF" w:themeFill="background1" w:themeFillShade="BF"/>
            <w:vAlign w:val="center"/>
          </w:tcPr>
          <w:p>
            <w:pPr>
              <w:jc w:val="left"/>
              <w:rPr>
                <w:rFonts w:cs="Arial"/>
                <w:b/>
                <w:sz w:val="18"/>
                <w:lang w:val="en-US" w:eastAsia="en-ZA" w:bidi="en-US"/>
              </w:rPr>
            </w:pPr>
            <w:r>
              <w:rPr>
                <w:rFonts w:cs="Arial"/>
                <w:b/>
                <w:sz w:val="18"/>
                <w:lang w:val="en-US" w:eastAsia="en-ZA" w:bidi="en-US"/>
              </w:rPr>
              <w:t>Porous catalyst phase</w:t>
            </w:r>
          </w:p>
        </w:tc>
      </w:tr>
      <w:tr>
        <w:trPr>
          <w:trHeight w:hRule="exact" w:val="295"/>
        </w:trPr>
        <w:tc>
          <w:tcPr>
            <w:tcW w:w="2376" w:type="pct"/>
            <w:shd w:val="clear" w:color="auto" w:fill="F2F2F2" w:themeFill="background1" w:themeFillShade="F2"/>
            <w:vAlign w:val="center"/>
          </w:tcPr>
          <w:p>
            <w:pPr>
              <w:jc w:val="left"/>
              <w:rPr>
                <w:rFonts w:cs="Arial"/>
                <w:sz w:val="18"/>
                <w:lang w:val="en-US" w:eastAsia="en-ZA" w:bidi="en-US"/>
              </w:rPr>
            </w:pPr>
            <w:r>
              <w:rPr>
                <w:rFonts w:cs="Arial"/>
                <w:sz w:val="18"/>
                <w:lang w:val="en-US" w:eastAsia="en-ZA" w:bidi="en-US"/>
              </w:rPr>
              <w:t>Continuity equation</w:t>
            </w:r>
          </w:p>
        </w:tc>
        <w:tc>
          <w:tcPr>
            <w:tcW w:w="2624" w:type="pct"/>
            <w:shd w:val="clear" w:color="auto" w:fill="F2F2F2" w:themeFill="background1" w:themeFillShade="F2"/>
            <w:vAlign w:val="center"/>
          </w:tcPr>
          <w:p>
            <w:pPr>
              <w:jc w:val="left"/>
              <w:rPr>
                <w:rFonts w:cs="Arial"/>
                <w:sz w:val="18"/>
                <w:lang w:val="en-US" w:eastAsia="en-ZA" w:bidi="en-US"/>
              </w:rPr>
            </w:pPr>
            <m:oMathPara>
              <m:oMath>
                <m:r>
                  <m:rPr>
                    <m:sty m:val="p"/>
                  </m:rPr>
                  <w:rPr>
                    <w:rFonts w:ascii="Cambria Math" w:hAnsi="Cambria Math" w:cs="Arial"/>
                    <w:sz w:val="18"/>
                    <w:lang w:val="en-US" w:eastAsia="en-ZA" w:bidi="en-US"/>
                  </w:rPr>
                  <m:t>∇∙(ε</m:t>
                </m:r>
                <m:r>
                  <w:rPr>
                    <w:rFonts w:ascii="Cambria Math" w:hAnsi="Cambria Math" w:cs="Arial"/>
                    <w:sz w:val="18"/>
                    <w:lang w:val="en-US" w:eastAsia="en-ZA" w:bidi="en-US"/>
                  </w:rPr>
                  <m:t>ρ</m:t>
                </m:r>
                <m:r>
                  <m:rPr>
                    <m:sty m:val="b"/>
                  </m:rPr>
                  <w:rPr>
                    <w:rFonts w:ascii="Cambria Math" w:hAnsi="Cambria Math" w:cs="Arial"/>
                    <w:sz w:val="18"/>
                    <w:lang w:val="en-US" w:eastAsia="en-ZA" w:bidi="en-US"/>
                  </w:rPr>
                  <m:t>u</m:t>
                </m:r>
                <m:r>
                  <m:rPr>
                    <m:sty m:val="p"/>
                  </m:rPr>
                  <w:rPr>
                    <w:rFonts w:ascii="Cambria Math" w:hAnsi="Cambria Math" w:cs="Arial"/>
                    <w:sz w:val="18"/>
                    <w:lang w:val="en-US" w:eastAsia="en-ZA" w:bidi="en-US"/>
                  </w:rPr>
                  <m:t>)=0</m:t>
                </m:r>
              </m:oMath>
            </m:oMathPara>
          </w:p>
        </w:tc>
      </w:tr>
      <w:tr>
        <w:trPr>
          <w:trHeight w:hRule="exact" w:val="567"/>
        </w:trPr>
        <w:tc>
          <w:tcPr>
            <w:tcW w:w="2376" w:type="pct"/>
            <w:shd w:val="clear" w:color="auto" w:fill="F2F2F2" w:themeFill="background1" w:themeFillShade="F2"/>
            <w:vAlign w:val="center"/>
          </w:tcPr>
          <w:p>
            <w:pPr>
              <w:jc w:val="left"/>
              <w:rPr>
                <w:rFonts w:cs="Arial"/>
                <w:sz w:val="18"/>
                <w:lang w:val="en-US" w:eastAsia="en-ZA" w:bidi="en-US"/>
              </w:rPr>
            </w:pPr>
            <w:r>
              <w:rPr>
                <w:rFonts w:cs="Arial"/>
                <w:sz w:val="18"/>
                <w:lang w:val="en-US" w:eastAsia="en-ZA" w:bidi="en-US"/>
              </w:rPr>
              <w:t>Brinkman-Forchheimer extended Darcy equation</w:t>
            </w:r>
          </w:p>
        </w:tc>
        <w:tc>
          <w:tcPr>
            <w:tcW w:w="2624" w:type="pct"/>
            <w:shd w:val="clear" w:color="auto" w:fill="F2F2F2" w:themeFill="background1" w:themeFillShade="F2"/>
            <w:vAlign w:val="center"/>
          </w:tcPr>
          <w:p>
            <w:pPr>
              <w:jc w:val="left"/>
              <w:rPr>
                <w:rFonts w:cs="Arial"/>
                <w:sz w:val="18"/>
                <w:lang w:val="en-US" w:eastAsia="en-ZA" w:bidi="en-US"/>
              </w:rPr>
            </w:pPr>
            <m:oMathPara>
              <m:oMath>
                <m:r>
                  <m:rPr>
                    <m:sty m:val="b"/>
                  </m:rPr>
                  <w:rPr>
                    <w:rFonts w:ascii="Cambria Math" w:hAnsi="Cambria Math" w:cs="Arial"/>
                    <w:sz w:val="18"/>
                    <w:lang w:val="en-US" w:eastAsia="en-ZA" w:bidi="en-US"/>
                  </w:rPr>
                  <m:t>u</m:t>
                </m:r>
                <m:r>
                  <m:rPr>
                    <m:sty m:val="p"/>
                  </m:rPr>
                  <w:rPr>
                    <w:rFonts w:ascii="Cambria Math" w:hAnsi="Cambria Math" w:cs="Arial"/>
                    <w:sz w:val="18"/>
                    <w:lang w:val="en-US" w:eastAsia="en-ZA" w:bidi="en-US"/>
                  </w:rPr>
                  <m:t>∙∇</m:t>
                </m:r>
                <m:d>
                  <m:dPr>
                    <m:ctrlPr>
                      <w:rPr>
                        <w:rFonts w:ascii="Cambria Math" w:hAnsi="Cambria Math" w:cs="Arial"/>
                        <w:sz w:val="18"/>
                        <w:lang w:val="en-US" w:eastAsia="en-ZA" w:bidi="en-US"/>
                      </w:rPr>
                    </m:ctrlPr>
                  </m:dPr>
                  <m:e>
                    <m:r>
                      <m:rPr>
                        <m:sty m:val="p"/>
                      </m:rPr>
                      <w:rPr>
                        <w:rFonts w:ascii="Cambria Math" w:hAnsi="Cambria Math" w:cs="Arial"/>
                        <w:sz w:val="18"/>
                        <w:lang w:val="en-US" w:eastAsia="en-ZA" w:bidi="en-US"/>
                      </w:rPr>
                      <m:t>ε</m:t>
                    </m:r>
                    <m:r>
                      <w:rPr>
                        <w:rFonts w:ascii="Cambria Math" w:hAnsi="Cambria Math" w:cs="Arial"/>
                        <w:sz w:val="18"/>
                        <w:lang w:val="en-US" w:eastAsia="en-ZA" w:bidi="en-US"/>
                      </w:rPr>
                      <m:t>ρ</m:t>
                    </m:r>
                    <m:r>
                      <m:rPr>
                        <m:sty m:val="b"/>
                      </m:rPr>
                      <w:rPr>
                        <w:rFonts w:ascii="Cambria Math" w:hAnsi="Cambria Math" w:cs="Arial"/>
                        <w:sz w:val="18"/>
                        <w:lang w:val="en-US" w:eastAsia="en-ZA" w:bidi="en-US"/>
                      </w:rPr>
                      <m:t>u</m:t>
                    </m:r>
                  </m:e>
                </m:d>
                <m:r>
                  <m:rPr>
                    <m:sty m:val="p"/>
                  </m:rPr>
                  <w:rPr>
                    <w:rFonts w:ascii="Cambria Math" w:hAnsi="Cambria Math" w:cs="Arial"/>
                    <w:sz w:val="18"/>
                    <w:lang w:val="en-US" w:eastAsia="en-ZA" w:bidi="en-US"/>
                  </w:rPr>
                  <m:t>= -∇P+ ∇</m:t>
                </m:r>
                <m:r>
                  <w:rPr>
                    <w:rFonts w:ascii="Cambria Math" w:hAnsi="Cambria Math" w:cs="Arial"/>
                    <w:sz w:val="18"/>
                    <w:lang w:val="en-US" w:eastAsia="en-ZA" w:bidi="en-US"/>
                  </w:rPr>
                  <m:t>∙</m:t>
                </m:r>
                <m:d>
                  <m:dPr>
                    <m:ctrlPr>
                      <w:rPr>
                        <w:rFonts w:ascii="Cambria Math" w:hAnsi="Cambria Math" w:cs="Arial"/>
                        <w:i/>
                        <w:sz w:val="18"/>
                        <w:lang w:val="en-US" w:eastAsia="en-ZA" w:bidi="en-US"/>
                      </w:rPr>
                    </m:ctrlPr>
                  </m:dPr>
                  <m:e>
                    <m:sSub>
                      <m:sSubPr>
                        <m:ctrlPr>
                          <w:rPr>
                            <w:rFonts w:ascii="Cambria Math" w:hAnsi="Cambria Math" w:cs="Arial"/>
                            <w:i/>
                            <w:sz w:val="18"/>
                            <w:lang w:val="en-US" w:eastAsia="en-ZA" w:bidi="en-US"/>
                          </w:rPr>
                        </m:ctrlPr>
                      </m:sSubPr>
                      <m:e>
                        <m:r>
                          <w:rPr>
                            <w:rFonts w:ascii="Cambria Math" w:hAnsi="Cambria Math" w:cs="Arial"/>
                            <w:sz w:val="18"/>
                            <w:lang w:val="en-US" w:eastAsia="en-ZA" w:bidi="en-US"/>
                          </w:rPr>
                          <m:t>μ</m:t>
                        </m:r>
                      </m:e>
                      <m:sub>
                        <m:r>
                          <w:rPr>
                            <w:rFonts w:ascii="Cambria Math" w:hAnsi="Cambria Math" w:cs="Arial"/>
                            <w:sz w:val="18"/>
                            <w:lang w:val="en-US" w:eastAsia="en-ZA" w:bidi="en-US"/>
                          </w:rPr>
                          <m:t>eff</m:t>
                        </m:r>
                      </m:sub>
                    </m:sSub>
                    <m:r>
                      <m:rPr>
                        <m:sty m:val="p"/>
                      </m:rPr>
                      <w:rPr>
                        <w:rFonts w:ascii="Cambria Math" w:hAnsi="Cambria Math" w:cs="Arial"/>
                        <w:sz w:val="18"/>
                        <w:lang w:val="en-US" w:eastAsia="en-ZA" w:bidi="en-US"/>
                      </w:rPr>
                      <m:t>∇</m:t>
                    </m:r>
                    <m:r>
                      <m:rPr>
                        <m:sty m:val="b"/>
                      </m:rPr>
                      <w:rPr>
                        <w:rFonts w:ascii="Cambria Math" w:hAnsi="Cambria Math" w:cs="Arial"/>
                        <w:sz w:val="18"/>
                        <w:lang w:val="en-US" w:eastAsia="en-ZA" w:bidi="en-US"/>
                      </w:rPr>
                      <m:t>u</m:t>
                    </m:r>
                    <m:ctrlPr>
                      <w:rPr>
                        <w:rFonts w:ascii="Cambria Math" w:hAnsi="Cambria Math" w:cs="Arial"/>
                        <w:sz w:val="18"/>
                        <w:lang w:val="en-US" w:eastAsia="en-ZA" w:bidi="en-US"/>
                      </w:rPr>
                    </m:ctrlPr>
                  </m:e>
                </m:d>
                <m:r>
                  <w:rPr>
                    <w:rFonts w:ascii="Cambria Math" w:hAnsi="Cambria Math" w:cs="Arial"/>
                    <w:sz w:val="18"/>
                    <w:lang w:val="en-US" w:eastAsia="en-ZA" w:bidi="en-US"/>
                  </w:rPr>
                  <m:t xml:space="preserve">- </m:t>
                </m:r>
                <m:f>
                  <m:fPr>
                    <m:ctrlPr>
                      <w:rPr>
                        <w:rFonts w:ascii="Cambria Math" w:hAnsi="Cambria Math" w:cs="Arial"/>
                        <w:i/>
                        <w:sz w:val="18"/>
                        <w:lang w:val="en-US" w:eastAsia="en-ZA" w:bidi="en-US"/>
                      </w:rPr>
                    </m:ctrlPr>
                  </m:fPr>
                  <m:num>
                    <m:r>
                      <w:rPr>
                        <w:rFonts w:ascii="Cambria Math" w:hAnsi="Cambria Math" w:cs="Arial"/>
                        <w:sz w:val="18"/>
                        <w:lang w:val="en-US" w:eastAsia="en-ZA" w:bidi="en-US"/>
                      </w:rPr>
                      <m:t>μ</m:t>
                    </m:r>
                  </m:num>
                  <m:den>
                    <m:r>
                      <w:rPr>
                        <w:rFonts w:ascii="Cambria Math" w:hAnsi="Cambria Math" w:cs="Arial"/>
                        <w:sz w:val="18"/>
                        <w:lang w:val="en-US" w:eastAsia="en-ZA" w:bidi="en-US"/>
                      </w:rPr>
                      <m:t>κ</m:t>
                    </m:r>
                  </m:den>
                </m:f>
                <m:r>
                  <m:rPr>
                    <m:sty m:val="b"/>
                  </m:rPr>
                  <w:rPr>
                    <w:rFonts w:ascii="Cambria Math" w:hAnsi="Cambria Math" w:cs="Arial"/>
                    <w:sz w:val="18"/>
                    <w:lang w:val="en-US" w:eastAsia="en-ZA" w:bidi="en-US"/>
                  </w:rPr>
                  <m:t xml:space="preserve">u- </m:t>
                </m:r>
                <m:f>
                  <m:fPr>
                    <m:ctrlPr>
                      <w:rPr>
                        <w:rFonts w:ascii="Cambria Math" w:hAnsi="Cambria Math" w:cs="Arial"/>
                        <w:i/>
                        <w:sz w:val="18"/>
                        <w:lang w:val="en-US" w:eastAsia="en-ZA" w:bidi="en-US"/>
                      </w:rPr>
                    </m:ctrlPr>
                  </m:fPr>
                  <m:num>
                    <m:r>
                      <m:rPr>
                        <m:sty m:val="p"/>
                      </m:rPr>
                      <w:rPr>
                        <w:rFonts w:ascii="Cambria Math" w:hAnsi="Cambria Math" w:cs="Arial"/>
                        <w:sz w:val="18"/>
                        <w:lang w:val="en-US" w:eastAsia="en-ZA" w:bidi="en-US"/>
                      </w:rPr>
                      <m:t>ε</m:t>
                    </m:r>
                    <m:sSub>
                      <m:sSubPr>
                        <m:ctrlPr>
                          <w:rPr>
                            <w:rFonts w:ascii="Cambria Math" w:hAnsi="Cambria Math" w:cs="Arial"/>
                            <w:i/>
                            <w:sz w:val="18"/>
                            <w:lang w:val="en-US" w:eastAsia="en-ZA" w:bidi="en-US"/>
                          </w:rPr>
                        </m:ctrlPr>
                      </m:sSubPr>
                      <m:e>
                        <m:r>
                          <w:rPr>
                            <w:rFonts w:ascii="Cambria Math" w:hAnsi="Cambria Math" w:cs="Arial"/>
                            <w:sz w:val="18"/>
                            <w:lang w:val="en-US" w:eastAsia="en-ZA" w:bidi="en-US"/>
                          </w:rPr>
                          <m:t>ρC</m:t>
                        </m:r>
                      </m:e>
                      <m:sub>
                        <m:r>
                          <w:rPr>
                            <w:rFonts w:ascii="Cambria Math" w:hAnsi="Cambria Math" w:cs="Arial"/>
                            <w:sz w:val="18"/>
                            <w:lang w:val="en-US" w:eastAsia="en-ZA" w:bidi="en-US"/>
                          </w:rPr>
                          <m:t>F</m:t>
                        </m:r>
                      </m:sub>
                    </m:sSub>
                  </m:num>
                  <m:den>
                    <m:rad>
                      <m:radPr>
                        <m:degHide m:val="1"/>
                        <m:ctrlPr>
                          <w:rPr>
                            <w:rFonts w:ascii="Cambria Math" w:hAnsi="Cambria Math" w:cs="Arial"/>
                            <w:i/>
                            <w:sz w:val="18"/>
                            <w:lang w:val="en-US" w:eastAsia="en-ZA" w:bidi="en-US"/>
                          </w:rPr>
                        </m:ctrlPr>
                      </m:radPr>
                      <m:deg/>
                      <m:e>
                        <m:r>
                          <w:rPr>
                            <w:rFonts w:ascii="Cambria Math" w:hAnsi="Cambria Math" w:cs="Arial"/>
                            <w:sz w:val="18"/>
                            <w:lang w:val="en-US" w:eastAsia="en-ZA" w:bidi="en-US"/>
                          </w:rPr>
                          <m:t>κ</m:t>
                        </m:r>
                      </m:e>
                    </m:rad>
                  </m:den>
                </m:f>
                <m:d>
                  <m:dPr>
                    <m:begChr m:val="|"/>
                    <m:endChr m:val="|"/>
                    <m:ctrlPr>
                      <w:rPr>
                        <w:rFonts w:ascii="Cambria Math" w:hAnsi="Cambria Math" w:cs="Arial"/>
                        <w:b/>
                        <w:sz w:val="18"/>
                        <w:lang w:val="en-US" w:eastAsia="en-ZA" w:bidi="en-US"/>
                      </w:rPr>
                    </m:ctrlPr>
                  </m:dPr>
                  <m:e>
                    <m:r>
                      <m:rPr>
                        <m:sty m:val="b"/>
                      </m:rPr>
                      <w:rPr>
                        <w:rFonts w:ascii="Cambria Math" w:hAnsi="Cambria Math" w:cs="Arial"/>
                        <w:sz w:val="18"/>
                        <w:lang w:val="en-US" w:eastAsia="en-ZA" w:bidi="en-US"/>
                      </w:rPr>
                      <m:t>u</m:t>
                    </m:r>
                  </m:e>
                </m:d>
                <m:r>
                  <m:rPr>
                    <m:sty m:val="b"/>
                  </m:rPr>
                  <w:rPr>
                    <w:rFonts w:ascii="Cambria Math" w:hAnsi="Cambria Math" w:cs="Arial"/>
                    <w:sz w:val="18"/>
                    <w:lang w:val="en-US" w:eastAsia="en-ZA" w:bidi="en-US"/>
                  </w:rPr>
                  <m:t>u</m:t>
                </m:r>
              </m:oMath>
            </m:oMathPara>
          </w:p>
        </w:tc>
      </w:tr>
      <w:tr>
        <w:trPr>
          <w:trHeight w:hRule="exact" w:val="295"/>
        </w:trPr>
        <w:tc>
          <w:tcPr>
            <w:tcW w:w="2376" w:type="pct"/>
            <w:shd w:val="clear" w:color="auto" w:fill="F2F2F2" w:themeFill="background1" w:themeFillShade="F2"/>
            <w:vAlign w:val="center"/>
          </w:tcPr>
          <w:p>
            <w:pPr>
              <w:jc w:val="left"/>
              <w:rPr>
                <w:rFonts w:cs="Arial"/>
                <w:sz w:val="18"/>
                <w:lang w:val="en-US" w:eastAsia="en-ZA" w:bidi="en-US"/>
              </w:rPr>
            </w:pPr>
            <w:r>
              <w:rPr>
                <w:rFonts w:cs="Arial"/>
                <w:sz w:val="18"/>
                <w:lang w:val="en-US" w:eastAsia="en-ZA" w:bidi="en-US"/>
              </w:rPr>
              <w:t>Energy equation</w:t>
            </w:r>
          </w:p>
        </w:tc>
        <w:tc>
          <w:tcPr>
            <w:tcW w:w="2624" w:type="pct"/>
            <w:shd w:val="clear" w:color="auto" w:fill="F2F2F2" w:themeFill="background1" w:themeFillShade="F2"/>
            <w:vAlign w:val="center"/>
          </w:tcPr>
          <w:p>
            <w:pPr>
              <w:jc w:val="left"/>
              <w:rPr>
                <w:rFonts w:cs="Arial"/>
                <w:sz w:val="18"/>
                <w:lang w:val="en-US" w:eastAsia="en-ZA" w:bidi="en-US"/>
              </w:rPr>
            </w:pPr>
            <m:oMathPara>
              <m:oMath>
                <m:r>
                  <m:rPr>
                    <m:sty m:val="b"/>
                  </m:rPr>
                  <w:rPr>
                    <w:rFonts w:ascii="Cambria Math" w:hAnsi="Cambria Math" w:cs="Arial"/>
                    <w:sz w:val="18"/>
                    <w:lang w:val="en-US" w:eastAsia="en-ZA" w:bidi="en-US"/>
                  </w:rPr>
                  <m:t>u</m:t>
                </m:r>
                <m:r>
                  <w:rPr>
                    <w:rFonts w:ascii="Cambria Math" w:hAnsi="Cambria Math" w:cs="Arial"/>
                    <w:sz w:val="18"/>
                    <w:lang w:val="en-US" w:eastAsia="en-ZA" w:bidi="en-US"/>
                  </w:rPr>
                  <m:t>∙</m:t>
                </m:r>
                <m:r>
                  <m:rPr>
                    <m:sty m:val="p"/>
                  </m:rPr>
                  <w:rPr>
                    <w:rFonts w:ascii="Cambria Math" w:hAnsi="Cambria Math" w:cs="Arial"/>
                    <w:sz w:val="18"/>
                    <w:lang w:val="en-US" w:eastAsia="en-ZA" w:bidi="en-US"/>
                  </w:rPr>
                  <m:t>∇</m:t>
                </m:r>
                <m:r>
                  <w:rPr>
                    <w:rFonts w:ascii="Cambria Math" w:hAnsi="Cambria Math" w:cs="Arial"/>
                    <w:sz w:val="18"/>
                    <w:lang w:val="en-US" w:eastAsia="en-ZA" w:bidi="en-US"/>
                  </w:rPr>
                  <m:t>T</m:t>
                </m:r>
                <m:d>
                  <m:dPr>
                    <m:ctrlPr>
                      <w:rPr>
                        <w:rFonts w:ascii="Cambria Math" w:hAnsi="Cambria Math" w:cs="Arial"/>
                        <w:sz w:val="18"/>
                        <w:lang w:val="en-US" w:eastAsia="en-ZA" w:bidi="en-US"/>
                      </w:rPr>
                    </m:ctrlPr>
                  </m:dPr>
                  <m:e>
                    <m:r>
                      <m:rPr>
                        <m:sty m:val="p"/>
                      </m:rPr>
                      <w:rPr>
                        <w:rFonts w:ascii="Cambria Math" w:hAnsi="Cambria Math" w:cs="Arial"/>
                        <w:sz w:val="18"/>
                        <w:lang w:val="en-US" w:eastAsia="en-ZA" w:bidi="en-US"/>
                      </w:rPr>
                      <m:t>ε</m:t>
                    </m:r>
                    <m:r>
                      <w:rPr>
                        <w:rFonts w:ascii="Cambria Math" w:hAnsi="Cambria Math" w:cs="Arial"/>
                        <w:sz w:val="18"/>
                        <w:lang w:val="en-US" w:eastAsia="en-ZA" w:bidi="en-US"/>
                      </w:rPr>
                      <m:t>ρ</m:t>
                    </m:r>
                    <m:sSub>
                      <m:sSubPr>
                        <m:ctrlPr>
                          <w:rPr>
                            <w:rFonts w:ascii="Cambria Math" w:hAnsi="Cambria Math" w:cs="Arial"/>
                            <w:i/>
                            <w:sz w:val="18"/>
                            <w:lang w:val="en-US" w:eastAsia="en-ZA" w:bidi="en-US"/>
                          </w:rPr>
                        </m:ctrlPr>
                      </m:sSubPr>
                      <m:e>
                        <m:r>
                          <w:rPr>
                            <w:rFonts w:ascii="Cambria Math" w:hAnsi="Cambria Math" w:cs="Arial"/>
                            <w:sz w:val="18"/>
                            <w:lang w:val="en-US" w:eastAsia="en-ZA" w:bidi="en-US"/>
                          </w:rPr>
                          <m:t>C</m:t>
                        </m:r>
                      </m:e>
                      <m:sub>
                        <m:r>
                          <w:rPr>
                            <w:rFonts w:ascii="Cambria Math" w:hAnsi="Cambria Math" w:cs="Arial"/>
                            <w:sz w:val="18"/>
                            <w:lang w:val="en-US" w:eastAsia="en-ZA" w:bidi="en-US"/>
                          </w:rPr>
                          <m:t>p</m:t>
                        </m:r>
                      </m:sub>
                    </m:sSub>
                    <m:ctrlPr>
                      <w:rPr>
                        <w:rFonts w:ascii="Cambria Math" w:hAnsi="Cambria Math" w:cs="Arial"/>
                        <w:i/>
                        <w:sz w:val="18"/>
                        <w:lang w:val="en-US" w:eastAsia="en-ZA" w:bidi="en-US"/>
                      </w:rPr>
                    </m:ctrlPr>
                  </m:e>
                </m:d>
                <m:r>
                  <w:rPr>
                    <w:rFonts w:ascii="Cambria Math" w:hAnsi="Cambria Math" w:cs="Arial"/>
                    <w:sz w:val="18"/>
                    <w:lang w:val="en-US" w:eastAsia="en-ZA" w:bidi="en-US"/>
                  </w:rPr>
                  <m:t xml:space="preserve">= </m:t>
                </m:r>
                <m:r>
                  <m:rPr>
                    <m:sty m:val="p"/>
                  </m:rPr>
                  <w:rPr>
                    <w:rFonts w:ascii="Cambria Math" w:hAnsi="Cambria Math" w:cs="Arial"/>
                    <w:sz w:val="18"/>
                    <w:lang w:val="en-US" w:eastAsia="en-ZA" w:bidi="en-US"/>
                  </w:rPr>
                  <m:t>∇</m:t>
                </m:r>
                <m:r>
                  <w:rPr>
                    <w:rFonts w:ascii="Cambria Math" w:hAnsi="Cambria Math" w:cs="Arial"/>
                    <w:sz w:val="18"/>
                    <w:lang w:val="en-US" w:eastAsia="en-ZA" w:bidi="en-US"/>
                  </w:rPr>
                  <m:t>∙</m:t>
                </m:r>
                <m:d>
                  <m:dPr>
                    <m:ctrlPr>
                      <w:rPr>
                        <w:rFonts w:ascii="Cambria Math" w:hAnsi="Cambria Math" w:cs="Arial"/>
                        <w:i/>
                        <w:sz w:val="18"/>
                        <w:lang w:val="en-US" w:eastAsia="en-ZA" w:bidi="en-US"/>
                      </w:rPr>
                    </m:ctrlPr>
                  </m:dPr>
                  <m:e>
                    <m:sSub>
                      <m:sSubPr>
                        <m:ctrlPr>
                          <w:rPr>
                            <w:rFonts w:ascii="Cambria Math" w:hAnsi="Cambria Math" w:cs="Arial"/>
                            <w:i/>
                            <w:sz w:val="18"/>
                            <w:lang w:val="en-US" w:eastAsia="en-ZA" w:bidi="en-US"/>
                          </w:rPr>
                        </m:ctrlPr>
                      </m:sSubPr>
                      <m:e>
                        <m:r>
                          <w:rPr>
                            <w:rFonts w:ascii="Cambria Math" w:hAnsi="Cambria Math" w:cs="Arial"/>
                            <w:sz w:val="18"/>
                            <w:lang w:val="en-US" w:eastAsia="en-ZA" w:bidi="en-US"/>
                          </w:rPr>
                          <m:t>k</m:t>
                        </m:r>
                      </m:e>
                      <m:sub>
                        <m:r>
                          <w:rPr>
                            <w:rFonts w:ascii="Cambria Math" w:hAnsi="Cambria Math" w:cs="Arial"/>
                            <w:sz w:val="18"/>
                            <w:lang w:val="en-US" w:eastAsia="en-ZA" w:bidi="en-US"/>
                          </w:rPr>
                          <m:t>eff</m:t>
                        </m:r>
                      </m:sub>
                    </m:sSub>
                    <m:r>
                      <m:rPr>
                        <m:sty m:val="p"/>
                      </m:rPr>
                      <w:rPr>
                        <w:rFonts w:ascii="Cambria Math" w:hAnsi="Cambria Math" w:cs="Arial"/>
                        <w:sz w:val="18"/>
                        <w:lang w:val="en-US" w:eastAsia="en-ZA" w:bidi="en-US"/>
                      </w:rPr>
                      <m:t>∇</m:t>
                    </m:r>
                    <m:r>
                      <w:rPr>
                        <w:rFonts w:ascii="Cambria Math" w:hAnsi="Cambria Math" w:cs="Arial"/>
                        <w:sz w:val="18"/>
                        <w:lang w:val="en-US" w:eastAsia="en-ZA" w:bidi="en-US"/>
                      </w:rPr>
                      <m:t>T</m:t>
                    </m:r>
                  </m:e>
                </m:d>
                <m:r>
                  <w:rPr>
                    <w:rFonts w:ascii="Cambria Math" w:hAnsi="Cambria Math" w:cs="Arial"/>
                    <w:sz w:val="18"/>
                    <w:lang w:val="en-US" w:eastAsia="en-ZA" w:bidi="en-US"/>
                  </w:rPr>
                  <m:t xml:space="preserve">+(1- </m:t>
                </m:r>
                <m:r>
                  <m:rPr>
                    <m:sty m:val="p"/>
                  </m:rPr>
                  <w:rPr>
                    <w:rFonts w:ascii="Cambria Math" w:hAnsi="Cambria Math" w:cs="Arial"/>
                    <w:sz w:val="18"/>
                    <w:lang w:val="en-US" w:eastAsia="en-ZA" w:bidi="en-US"/>
                  </w:rPr>
                  <m:t>ε)</m:t>
                </m:r>
                <m:sSub>
                  <m:sSubPr>
                    <m:ctrlPr>
                      <w:rPr>
                        <w:rFonts w:ascii="Cambria Math" w:hAnsi="Cambria Math" w:cs="Arial"/>
                        <w:sz w:val="18"/>
                        <w:lang w:val="en-US" w:eastAsia="en-ZA" w:bidi="en-US"/>
                      </w:rPr>
                    </m:ctrlPr>
                  </m:sSubPr>
                  <m:e>
                    <m:r>
                      <w:rPr>
                        <w:rFonts w:ascii="Cambria Math" w:hAnsi="Cambria Math" w:cs="Arial"/>
                        <w:sz w:val="18"/>
                        <w:lang w:val="en-US" w:eastAsia="en-ZA" w:bidi="en-US"/>
                      </w:rPr>
                      <m:t>∆H</m:t>
                    </m:r>
                  </m:e>
                  <m:sub>
                    <m:r>
                      <w:rPr>
                        <w:rFonts w:ascii="Cambria Math" w:hAnsi="Cambria Math" w:cs="Arial"/>
                        <w:sz w:val="18"/>
                        <w:lang w:val="en-US" w:eastAsia="en-ZA" w:bidi="en-US"/>
                      </w:rPr>
                      <m:t>r</m:t>
                    </m:r>
                  </m:sub>
                </m:sSub>
                <m:sSub>
                  <m:sSubPr>
                    <m:ctrlPr>
                      <w:rPr>
                        <w:rFonts w:ascii="Cambria Math" w:hAnsi="Cambria Math" w:cs="Arial"/>
                        <w:i/>
                        <w:sz w:val="18"/>
                        <w:lang w:val="en-US" w:eastAsia="en-ZA" w:bidi="en-US"/>
                      </w:rPr>
                    </m:ctrlPr>
                  </m:sSubPr>
                  <m:e>
                    <m:r>
                      <w:rPr>
                        <w:rFonts w:ascii="Cambria Math" w:hAnsi="Cambria Math" w:cs="Arial"/>
                        <w:sz w:val="18"/>
                        <w:lang w:val="en-US" w:eastAsia="en-ZA" w:bidi="en-US"/>
                      </w:rPr>
                      <m:t>ρ</m:t>
                    </m:r>
                  </m:e>
                  <m:sub>
                    <m:r>
                      <w:rPr>
                        <w:rFonts w:ascii="Cambria Math" w:hAnsi="Cambria Math" w:cs="Arial"/>
                        <w:sz w:val="18"/>
                        <w:lang w:val="en-US" w:eastAsia="en-ZA" w:bidi="en-US"/>
                      </w:rPr>
                      <m:t>s</m:t>
                    </m:r>
                  </m:sub>
                </m:sSub>
                <m:sSub>
                  <m:sSubPr>
                    <m:ctrlPr>
                      <w:rPr>
                        <w:rFonts w:ascii="Cambria Math" w:hAnsi="Cambria Math" w:cs="Arial"/>
                        <w:i/>
                        <w:sz w:val="18"/>
                        <w:lang w:val="en-US" w:eastAsia="en-ZA" w:bidi="en-US"/>
                      </w:rPr>
                    </m:ctrlPr>
                  </m:sSubPr>
                  <m:e>
                    <m:r>
                      <w:rPr>
                        <w:rFonts w:ascii="Cambria Math" w:hAnsi="Cambria Math" w:cs="Arial"/>
                        <w:sz w:val="18"/>
                        <w:lang w:val="en-US" w:eastAsia="en-ZA" w:bidi="en-US"/>
                      </w:rPr>
                      <m:t>R</m:t>
                    </m:r>
                  </m:e>
                  <m:sub>
                    <m:r>
                      <w:rPr>
                        <w:rFonts w:ascii="Cambria Math" w:hAnsi="Cambria Math" w:cs="Arial"/>
                        <w:sz w:val="18"/>
                        <w:lang w:val="en-US" w:eastAsia="en-ZA" w:bidi="en-US"/>
                      </w:rPr>
                      <m:t>r</m:t>
                    </m:r>
                  </m:sub>
                </m:sSub>
              </m:oMath>
            </m:oMathPara>
          </w:p>
        </w:tc>
      </w:tr>
      <w:tr>
        <w:trPr>
          <w:trHeight w:hRule="exact" w:val="567"/>
        </w:trPr>
        <w:tc>
          <w:tcPr>
            <w:tcW w:w="2376" w:type="pct"/>
            <w:shd w:val="clear" w:color="auto" w:fill="F2F2F2" w:themeFill="background1" w:themeFillShade="F2"/>
            <w:vAlign w:val="center"/>
          </w:tcPr>
          <w:p>
            <w:pPr>
              <w:jc w:val="left"/>
              <w:rPr>
                <w:rFonts w:cs="Arial"/>
                <w:sz w:val="18"/>
                <w:lang w:val="en-US" w:eastAsia="en-ZA" w:bidi="en-US"/>
              </w:rPr>
            </w:pPr>
            <w:r>
              <w:rPr>
                <w:rFonts w:cs="Arial"/>
                <w:sz w:val="18"/>
                <w:lang w:val="en-US" w:eastAsia="en-ZA" w:bidi="en-US"/>
              </w:rPr>
              <w:t>Species continuity equation</w:t>
            </w:r>
          </w:p>
        </w:tc>
        <w:tc>
          <w:tcPr>
            <w:tcW w:w="2624" w:type="pct"/>
            <w:shd w:val="clear" w:color="auto" w:fill="F2F2F2" w:themeFill="background1" w:themeFillShade="F2"/>
            <w:vAlign w:val="center"/>
          </w:tcPr>
          <w:p>
            <w:pPr>
              <w:jc w:val="left"/>
              <w:rPr>
                <w:rFonts w:cs="Arial"/>
                <w:sz w:val="18"/>
                <w:lang w:val="en-US" w:eastAsia="en-ZA" w:bidi="en-US"/>
              </w:rPr>
            </w:pPr>
            <m:oMathPara>
              <m:oMath>
                <m:r>
                  <m:rPr>
                    <m:sty m:val="b"/>
                  </m:rPr>
                  <w:rPr>
                    <w:rFonts w:ascii="Cambria Math" w:hAnsi="Cambria Math" w:cs="Arial"/>
                    <w:sz w:val="18"/>
                    <w:lang w:val="en-US" w:eastAsia="en-ZA" w:bidi="en-US"/>
                  </w:rPr>
                  <m:t>u</m:t>
                </m:r>
                <m:r>
                  <m:rPr>
                    <m:sty m:val="p"/>
                  </m:rPr>
                  <w:rPr>
                    <w:rFonts w:ascii="Cambria Math" w:hAnsi="Cambria Math" w:cs="Arial"/>
                    <w:sz w:val="18"/>
                    <w:lang w:val="en-US" w:eastAsia="en-ZA" w:bidi="en-US"/>
                  </w:rPr>
                  <m:t>∙∇</m:t>
                </m:r>
                <m:d>
                  <m:dPr>
                    <m:ctrlPr>
                      <w:rPr>
                        <w:rFonts w:ascii="Cambria Math" w:hAnsi="Cambria Math" w:cs="Arial"/>
                        <w:sz w:val="18"/>
                        <w:lang w:val="en-US" w:eastAsia="en-ZA" w:bidi="en-US"/>
                      </w:rPr>
                    </m:ctrlPr>
                  </m:dPr>
                  <m:e>
                    <m:r>
                      <m:rPr>
                        <m:sty m:val="p"/>
                      </m:rPr>
                      <w:rPr>
                        <w:rFonts w:ascii="Cambria Math" w:hAnsi="Cambria Math" w:cs="Arial"/>
                        <w:sz w:val="18"/>
                        <w:lang w:val="en-US" w:eastAsia="en-ZA" w:bidi="en-US"/>
                      </w:rPr>
                      <m:t>ε</m:t>
                    </m:r>
                    <m:r>
                      <w:rPr>
                        <w:rFonts w:ascii="Cambria Math" w:hAnsi="Cambria Math" w:cs="Arial"/>
                        <w:sz w:val="18"/>
                        <w:lang w:val="en-US" w:eastAsia="en-ZA" w:bidi="en-US"/>
                      </w:rPr>
                      <m:t>ρ</m:t>
                    </m:r>
                    <m:sSub>
                      <m:sSubPr>
                        <m:ctrlPr>
                          <w:rPr>
                            <w:rFonts w:ascii="Cambria Math" w:hAnsi="Cambria Math" w:cs="Arial"/>
                            <w:sz w:val="18"/>
                            <w:lang w:val="en-US" w:eastAsia="en-ZA" w:bidi="en-US"/>
                          </w:rPr>
                        </m:ctrlPr>
                      </m:sSubPr>
                      <m:e>
                        <m:r>
                          <m:rPr>
                            <m:sty m:val="p"/>
                          </m:rPr>
                          <w:rPr>
                            <w:rFonts w:ascii="Cambria Math" w:hAnsi="Cambria Math" w:cs="Arial"/>
                            <w:sz w:val="18"/>
                            <w:lang w:val="en-US" w:eastAsia="en-ZA" w:bidi="en-US"/>
                          </w:rPr>
                          <m:t>ω</m:t>
                        </m:r>
                      </m:e>
                      <m:sub>
                        <m:r>
                          <w:rPr>
                            <w:rFonts w:ascii="Cambria Math" w:hAnsi="Cambria Math" w:cs="Arial"/>
                            <w:sz w:val="18"/>
                            <w:lang w:val="en-US" w:eastAsia="en-ZA" w:bidi="en-US"/>
                          </w:rPr>
                          <m:t>i</m:t>
                        </m:r>
                      </m:sub>
                    </m:sSub>
                  </m:e>
                </m:d>
                <m:r>
                  <m:rPr>
                    <m:sty m:val="p"/>
                  </m:rPr>
                  <w:rPr>
                    <w:rFonts w:ascii="Cambria Math" w:hAnsi="Cambria Math" w:cs="Arial"/>
                    <w:sz w:val="18"/>
                    <w:lang w:val="en-US" w:eastAsia="en-ZA" w:bidi="en-US"/>
                  </w:rPr>
                  <m:t>= ∇∙</m:t>
                </m:r>
                <m:d>
                  <m:dPr>
                    <m:ctrlPr>
                      <w:rPr>
                        <w:rFonts w:ascii="Cambria Math" w:hAnsi="Cambria Math" w:cs="Arial"/>
                        <w:sz w:val="18"/>
                        <w:lang w:val="en-US" w:eastAsia="en-ZA" w:bidi="en-US"/>
                      </w:rPr>
                    </m:ctrlPr>
                  </m:dPr>
                  <m:e>
                    <m:r>
                      <m:rPr>
                        <m:sty m:val="p"/>
                      </m:rPr>
                      <w:rPr>
                        <w:rFonts w:ascii="Cambria Math" w:hAnsi="Cambria Math" w:cs="Arial"/>
                        <w:sz w:val="18"/>
                        <w:lang w:val="en-US" w:eastAsia="en-ZA" w:bidi="en-US"/>
                      </w:rPr>
                      <m:t>ε</m:t>
                    </m:r>
                    <m:r>
                      <w:rPr>
                        <w:rFonts w:ascii="Cambria Math" w:hAnsi="Cambria Math" w:cs="Arial"/>
                        <w:sz w:val="18"/>
                        <w:lang w:val="en-US" w:eastAsia="en-ZA" w:bidi="en-US"/>
                      </w:rPr>
                      <m:t>ρ</m:t>
                    </m:r>
                    <m:sSub>
                      <m:sSubPr>
                        <m:ctrlPr>
                          <w:rPr>
                            <w:rFonts w:ascii="Cambria Math" w:hAnsi="Cambria Math" w:cs="Arial"/>
                            <w:i/>
                            <w:iCs/>
                            <w:sz w:val="18"/>
                            <w:lang w:val="en-US" w:eastAsia="en-ZA" w:bidi="en-US"/>
                          </w:rPr>
                        </m:ctrlPr>
                      </m:sSubPr>
                      <m:e>
                        <m:sSub>
                          <m:sSubPr>
                            <m:ctrlPr>
                              <w:rPr>
                                <w:rFonts w:ascii="Cambria Math" w:hAnsi="Cambria Math" w:cs="Arial"/>
                                <w:i/>
                                <w:iCs/>
                                <w:sz w:val="18"/>
                                <w:lang w:val="en-US" w:eastAsia="en-ZA" w:bidi="en-US"/>
                              </w:rPr>
                            </m:ctrlPr>
                          </m:sSubPr>
                          <m:e>
                            <m:r>
                              <w:rPr>
                                <w:rFonts w:ascii="Cambria Math" w:hAnsi="Cambria Math" w:cs="Arial"/>
                                <w:sz w:val="18"/>
                                <w:lang w:val="en-US" w:eastAsia="en-ZA" w:bidi="en-US"/>
                              </w:rPr>
                              <m:t>D</m:t>
                            </m:r>
                          </m:e>
                          <m:sub>
                            <m:r>
                              <w:rPr>
                                <w:rFonts w:ascii="Cambria Math" w:hAnsi="Cambria Math" w:cs="Arial"/>
                                <w:sz w:val="18"/>
                                <w:lang w:val="en-US" w:eastAsia="en-ZA" w:bidi="en-US"/>
                              </w:rPr>
                              <m:t>ij</m:t>
                            </m:r>
                          </m:sub>
                        </m:sSub>
                      </m:e>
                      <m:sub>
                        <m:r>
                          <w:rPr>
                            <w:rFonts w:ascii="Cambria Math" w:hAnsi="Cambria Math" w:cs="Arial"/>
                            <w:sz w:val="18"/>
                            <w:lang w:val="en-US" w:eastAsia="en-ZA" w:bidi="en-US"/>
                          </w:rPr>
                          <m:t>eff</m:t>
                        </m:r>
                      </m:sub>
                    </m:sSub>
                    <m:sSub>
                      <m:sSubPr>
                        <m:ctrlPr>
                          <w:rPr>
                            <w:rFonts w:ascii="Cambria Math" w:hAnsi="Cambria Math" w:cs="Arial"/>
                            <w:sz w:val="18"/>
                            <w:lang w:val="en-US" w:eastAsia="en-ZA" w:bidi="en-US"/>
                          </w:rPr>
                        </m:ctrlPr>
                      </m:sSubPr>
                      <m:e>
                        <m:r>
                          <m:rPr>
                            <m:sty m:val="p"/>
                          </m:rPr>
                          <w:rPr>
                            <w:rFonts w:ascii="Cambria Math" w:hAnsi="Cambria Math" w:cs="Arial"/>
                            <w:sz w:val="18"/>
                            <w:lang w:val="en-US" w:eastAsia="en-ZA" w:bidi="en-US"/>
                          </w:rPr>
                          <m:t>∇ω</m:t>
                        </m:r>
                      </m:e>
                      <m:sub>
                        <m:r>
                          <w:rPr>
                            <w:rFonts w:ascii="Cambria Math" w:hAnsi="Cambria Math" w:cs="Arial"/>
                            <w:sz w:val="18"/>
                            <w:lang w:val="en-US" w:eastAsia="en-ZA" w:bidi="en-US"/>
                          </w:rPr>
                          <m:t>i</m:t>
                        </m:r>
                      </m:sub>
                    </m:sSub>
                  </m:e>
                </m:d>
                <m:r>
                  <w:rPr>
                    <w:rFonts w:ascii="Cambria Math" w:hAnsi="Cambria Math" w:cs="Arial"/>
                    <w:sz w:val="18"/>
                    <w:lang w:val="en-US" w:eastAsia="en-ZA" w:bidi="en-US"/>
                  </w:rPr>
                  <m:t xml:space="preserve">+(1- </m:t>
                </m:r>
                <m:r>
                  <m:rPr>
                    <m:sty m:val="p"/>
                  </m:rPr>
                  <w:rPr>
                    <w:rFonts w:ascii="Cambria Math" w:hAnsi="Cambria Math" w:cs="Arial"/>
                    <w:sz w:val="18"/>
                    <w:lang w:val="en-US" w:eastAsia="en-ZA" w:bidi="en-US"/>
                  </w:rPr>
                  <m:t>ε)</m:t>
                </m:r>
                <m:nary>
                  <m:naryPr>
                    <m:chr m:val="∑"/>
                    <m:limLoc m:val="subSup"/>
                    <m:ctrlPr>
                      <w:rPr>
                        <w:rFonts w:ascii="Cambria Math" w:hAnsi="Cambria Math" w:cs="Arial"/>
                        <w:sz w:val="18"/>
                        <w:lang w:val="en-US" w:eastAsia="en-ZA" w:bidi="en-US"/>
                      </w:rPr>
                    </m:ctrlPr>
                  </m:naryPr>
                  <m:sub>
                    <m:r>
                      <w:rPr>
                        <w:rFonts w:ascii="Cambria Math" w:hAnsi="Cambria Math" w:cs="Arial"/>
                        <w:sz w:val="18"/>
                        <w:lang w:val="en-US" w:eastAsia="en-ZA" w:bidi="en-US"/>
                      </w:rPr>
                      <m:t>i=1</m:t>
                    </m:r>
                  </m:sub>
                  <m:sup>
                    <m:r>
                      <w:rPr>
                        <w:rFonts w:ascii="Cambria Math" w:hAnsi="Cambria Math" w:cs="Arial"/>
                        <w:sz w:val="18"/>
                        <w:lang w:val="en-US" w:eastAsia="en-ZA" w:bidi="en-US"/>
                      </w:rPr>
                      <m:t>5</m:t>
                    </m:r>
                  </m:sup>
                  <m:e>
                    <m:sSub>
                      <m:sSubPr>
                        <m:ctrlPr>
                          <w:rPr>
                            <w:rFonts w:ascii="Cambria Math" w:hAnsi="Cambria Math" w:cs="Arial"/>
                            <w:sz w:val="18"/>
                            <w:lang w:val="en-US" w:eastAsia="en-ZA" w:bidi="en-US"/>
                          </w:rPr>
                        </m:ctrlPr>
                      </m:sSubPr>
                      <m:e>
                        <m:sSub>
                          <m:sSubPr>
                            <m:ctrlPr>
                              <w:rPr>
                                <w:rFonts w:ascii="Cambria Math" w:hAnsi="Cambria Math" w:cs="Arial"/>
                                <w:sz w:val="18"/>
                                <w:lang w:val="en-US" w:eastAsia="en-ZA" w:bidi="en-US"/>
                              </w:rPr>
                            </m:ctrlPr>
                          </m:sSubPr>
                          <m:e>
                            <m:r>
                              <w:rPr>
                                <w:rFonts w:ascii="Cambria Math" w:hAnsi="Cambria Math" w:cs="Arial"/>
                                <w:sz w:val="18"/>
                                <w:lang w:val="en-US" w:eastAsia="en-ZA" w:bidi="en-US"/>
                              </w:rPr>
                              <m:t>a</m:t>
                            </m:r>
                          </m:e>
                          <m:sub>
                            <m:r>
                              <w:rPr>
                                <w:rFonts w:ascii="Cambria Math" w:hAnsi="Cambria Math" w:cs="Arial"/>
                                <w:sz w:val="18"/>
                                <w:lang w:val="en-US" w:eastAsia="en-ZA" w:bidi="en-US"/>
                              </w:rPr>
                              <m:t>i</m:t>
                            </m:r>
                          </m:sub>
                        </m:sSub>
                        <m:r>
                          <w:rPr>
                            <w:rFonts w:ascii="Cambria Math" w:hAnsi="Cambria Math" w:cs="Arial"/>
                            <w:sz w:val="18"/>
                            <w:lang w:val="en-US" w:eastAsia="en-ZA" w:bidi="en-US"/>
                          </w:rPr>
                          <m:t>M</m:t>
                        </m:r>
                      </m:e>
                      <m:sub>
                        <m:r>
                          <w:rPr>
                            <w:rFonts w:ascii="Cambria Math" w:hAnsi="Cambria Math" w:cs="Arial"/>
                            <w:sz w:val="18"/>
                            <w:lang w:val="en-US" w:eastAsia="en-ZA" w:bidi="en-US"/>
                          </w:rPr>
                          <m:t>i</m:t>
                        </m:r>
                      </m:sub>
                    </m:sSub>
                  </m:e>
                </m:nary>
                <m:sSub>
                  <m:sSubPr>
                    <m:ctrlPr>
                      <w:rPr>
                        <w:rFonts w:ascii="Cambria Math" w:hAnsi="Cambria Math" w:cs="Arial"/>
                        <w:i/>
                        <w:sz w:val="18"/>
                        <w:lang w:val="en-US" w:eastAsia="en-ZA" w:bidi="en-US"/>
                      </w:rPr>
                    </m:ctrlPr>
                  </m:sSubPr>
                  <m:e>
                    <m:r>
                      <w:rPr>
                        <w:rFonts w:ascii="Cambria Math" w:hAnsi="Cambria Math" w:cs="Arial"/>
                        <w:sz w:val="18"/>
                        <w:lang w:val="en-US" w:eastAsia="en-ZA" w:bidi="en-US"/>
                      </w:rPr>
                      <m:t>ρ</m:t>
                    </m:r>
                  </m:e>
                  <m:sub>
                    <m:r>
                      <w:rPr>
                        <w:rFonts w:ascii="Cambria Math" w:hAnsi="Cambria Math" w:cs="Arial"/>
                        <w:sz w:val="18"/>
                        <w:lang w:val="en-US" w:eastAsia="en-ZA" w:bidi="en-US"/>
                      </w:rPr>
                      <m:t>s</m:t>
                    </m:r>
                  </m:sub>
                </m:sSub>
                <m:sSub>
                  <m:sSubPr>
                    <m:ctrlPr>
                      <w:rPr>
                        <w:rFonts w:ascii="Cambria Math" w:hAnsi="Cambria Math" w:cs="Arial"/>
                        <w:i/>
                        <w:sz w:val="18"/>
                        <w:lang w:val="en-US" w:eastAsia="en-ZA" w:bidi="en-US"/>
                      </w:rPr>
                    </m:ctrlPr>
                  </m:sSubPr>
                  <m:e>
                    <m:r>
                      <w:rPr>
                        <w:rFonts w:ascii="Cambria Math" w:hAnsi="Cambria Math" w:cs="Arial"/>
                        <w:sz w:val="18"/>
                        <w:lang w:val="en-US" w:eastAsia="en-ZA" w:bidi="en-US"/>
                      </w:rPr>
                      <m:t>R</m:t>
                    </m:r>
                  </m:e>
                  <m:sub>
                    <m:r>
                      <w:rPr>
                        <w:rFonts w:ascii="Cambria Math" w:hAnsi="Cambria Math" w:cs="Arial"/>
                        <w:sz w:val="18"/>
                        <w:lang w:val="en-US" w:eastAsia="en-ZA" w:bidi="en-US"/>
                      </w:rPr>
                      <m:t>r</m:t>
                    </m:r>
                  </m:sub>
                </m:sSub>
              </m:oMath>
            </m:oMathPara>
          </w:p>
        </w:tc>
      </w:tr>
    </w:tbl>
    <w:p>
      <w:pPr>
        <w:ind w:firstLine="720"/>
        <w:rPr>
          <w:lang w:val="en-US" w:eastAsia="en-ZA" w:bidi="en-US"/>
        </w:rPr>
      </w:pPr>
    </w:p>
    <w:p>
      <w:pPr>
        <w:spacing w:line="480" w:lineRule="auto"/>
        <w:ind w:firstLine="720"/>
        <w:rPr>
          <w:lang w:val="en-US" w:eastAsia="en-ZA" w:bidi="en-US"/>
        </w:rPr>
      </w:pPr>
      <w:r>
        <w:rPr>
          <w:lang w:val="en-US" w:eastAsia="en-ZA" w:bidi="en-US"/>
        </w:rPr>
        <w:t xml:space="preserve">Temperature-dependent correlations for the heat capacity, thermal conductivity and viscosity of each species were obtained from the Korean Thermophysical Properties Data Bank </w:t>
      </w:r>
      <w:r>
        <w:rPr>
          <w:lang w:val="en-US" w:eastAsia="en-ZA" w:bidi="en-US"/>
        </w:rPr>
        <w:fldChar w:fldCharType="begin" w:fldLock="1"/>
      </w:r>
      <w:r>
        <w:rPr>
          <w:lang w:val="en-US" w:eastAsia="en-ZA" w:bidi="en-US"/>
        </w:rPr>
        <w:instrText>ADDIN CSL_CITATION { "citationItems" : [ { "id" : "ITEM-1", "itemData" : { "URL" : "http://www.cheric.org/research/kdb", "accessed" : { "date-parts" : [ [ "2016", "2", "10" ] ] }, "author" : [ { "dropping-particle" : "", "family" : "CHERIC", "given" : "", "non-dropping-particle" : "", "parse-names" : false, "suffix" : "" } ], "id" : "ITEM-1", "issued" : { "date-parts" : [ [ "2016" ] ] }, "title" : "Chemical Engineering and Materials Research Information Center", "type" : "webpage" }, "uris" : [ "http://www.mendeley.com/documents/?uuid=68793390-25ba-458e-8ed0-bbe86863b297" ] } ], "mendeley" : { "formattedCitation" : "[46]", "plainTextFormattedCitation" : "[46]", "previouslyFormattedCitation" : "[46]" }, "properties" : { "noteIndex" : 0 }, "schema" : "https://github.com/citation-style-language/schema/raw/master/csl-citation.json" }</w:instrText>
      </w:r>
      <w:r>
        <w:rPr>
          <w:lang w:val="en-US" w:eastAsia="en-ZA" w:bidi="en-US"/>
        </w:rPr>
        <w:fldChar w:fldCharType="separate"/>
      </w:r>
      <w:r>
        <w:rPr>
          <w:noProof/>
          <w:lang w:val="en-US" w:eastAsia="en-ZA" w:bidi="en-US"/>
        </w:rPr>
        <w:t>[45]</w:t>
      </w:r>
      <w:r>
        <w:rPr>
          <w:lang w:val="en-US" w:eastAsia="en-ZA" w:bidi="en-US"/>
        </w:rPr>
        <w:fldChar w:fldCharType="end"/>
      </w:r>
      <w:r>
        <w:rPr>
          <w:lang w:val="en-US" w:eastAsia="en-ZA" w:bidi="en-US"/>
        </w:rPr>
        <w:t xml:space="preserve"> and with the mass-fraction weighted rule, used to describe each property at local </w:t>
      </w:r>
      <w:r>
        <w:rPr>
          <w:lang w:val="en-US" w:eastAsia="en-ZA" w:bidi="en-US"/>
        </w:rPr>
        <w:lastRenderedPageBreak/>
        <w:t xml:space="preserve">points along the microchannel. The Fuller-Schettler-Giddings (FSG) equation </w:t>
      </w:r>
      <w:r>
        <w:t>(Eq. 3)</w:t>
      </w:r>
      <w:r>
        <w:rPr>
          <w:lang w:val="en-US" w:eastAsia="en-ZA" w:bidi="en-US"/>
        </w:rPr>
        <w:t xml:space="preserve"> was used to estimate binary gas-phase diffusion coefficients </w:t>
      </w:r>
      <w:r>
        <w:rPr>
          <w:lang w:val="en-US" w:eastAsia="en-ZA" w:bidi="en-US"/>
        </w:rPr>
        <w:fldChar w:fldCharType="begin" w:fldLock="1"/>
      </w:r>
      <w:r>
        <w:rPr>
          <w:lang w:val="en-US" w:eastAsia="en-ZA" w:bidi="en-US"/>
        </w:rPr>
        <w:instrText>ADDIN CSL_CITATION { "citationItems" : [ { "id" : "ITEM-1", "itemData" : { "DOI" : "10.1016/0042-207X(66)90400-3", "ISBN" : "0019-7866", "ISSN" : "0042207X", "abstract" : "An easily applied method for predicting binary gas-phase diffusivities is based on the use of special diffusion volumes coupled with extensive experiment and nonlinear least squares analysis of the data. Comparison with eight other correlations demonstrates the relative reliability and simplicity of the new method.", "author" : [ { "dropping-particle" : "", "family" : "Fuller", "given" : "Edward N.", "non-dropping-particle" : "", "parse-names" : false, "suffix" : "" }, { "dropping-particle" : "", "family" : "Schettler", "given" : "Paul D.", "non-dropping-particle" : "", "parse-names" : false, "suffix" : "" }, { "dropping-particle" : "", "family" : "Giddings", "given" : "J. Calvin", "non-dropping-particle" : "", "parse-names" : false, "suffix" : "" } ], "container-title" : "Industrial and Engineering Chemistry", "id" : "ITEM-1", "issue" : "10", "issued" : { "date-parts" : [ [ "1966" ] ] }, "page" : "551", "title" : "A new method for prediction of binary gas-phase diffusion coefficients.", "type" : "article-journal", "volume" : "16" }, "uris" : [ "http://www.mendeley.com/documents/?uuid=507a8e62-057f-4b08-9994-c08e621a2602" ] }, { "id" : "ITEM-2", "itemData" : { "DOI" : "10.1021/j100845a020", "ISBN" : "0022-3654", "ISSN" : "0022-3654", "abstract" : "Experimental binary gas-phase diffusion coefficients for some halogenated hydrocarbon compounds diffusing into helium have been determined utilizing the gas chromatography (GC) peak-broadening technique. Certain modifications are described which have improved the speed and accuracy of the technique. A critical discussion of the validity of the method is given. Based mainly on the acquired data, additional parameters have been deter- mined for use in connection with the Fuller-Schettler-Giddings diffusion volume method for estimating binary diffusion coefficients. The relationship between effective collision cross sections and various molecular shape and structural features is discussed.", "author" : [ { "dropping-particle" : "", "family" : "Fuller", "given" : "Edward N", "non-dropping-particle" : "", "parse-names" : false, "suffix" : "" }, { "dropping-particle" : "", "family" : "Ensley", "given" : "Keith", "non-dropping-particle" : "", "parse-names" : false, "suffix" : "" }, { "dropping-particle" : "", "family" : "Giddings", "given" : "J Calvin", "non-dropping-particle" : "", "parse-names" : false, "suffix" : "" } ], "container-title" : "The Journal of Physical Chemistry", "id" : "ITEM-2", "issue" : "11", "issued" : { "date-parts" : [ [ "1969" ] ] }, "page" : "3679-3685", "title" : "Diffusion of halogenated hydrocarbons in helium. The effect of structure on collision cross sections", "type" : "article-journal", "volume" : "73" }, "uris" : [ "http://www.mendeley.com/documents/?uuid=0bb80da6-dac2-4500-98a6-bbfe54d855d1" ] } ], "mendeley" : { "formattedCitation" : "[47,48]", "plainTextFormattedCitation" : "[47,48]", "previouslyFormattedCitation" : "[47,48]" }, "properties" : { "noteIndex" : 0 }, "schema" : "https://github.com/citation-style-language/schema/raw/master/csl-citation.json" }</w:instrText>
      </w:r>
      <w:r>
        <w:rPr>
          <w:lang w:val="en-US" w:eastAsia="en-ZA" w:bidi="en-US"/>
        </w:rPr>
        <w:fldChar w:fldCharType="separate"/>
      </w:r>
      <w:r>
        <w:rPr>
          <w:noProof/>
          <w:lang w:val="en-US" w:eastAsia="en-ZA" w:bidi="en-US"/>
        </w:rPr>
        <w:t>[46,47]</w:t>
      </w:r>
      <w:r>
        <w:rPr>
          <w:lang w:val="en-US" w:eastAsia="en-ZA" w:bidi="en-US"/>
        </w:rPr>
        <w:fldChar w:fldCharType="end"/>
      </w:r>
      <w:r>
        <w:rPr>
          <w:lang w:val="en-US" w:eastAsia="en-ZA" w:bidi="en-US"/>
        </w:rPr>
        <w:t xml:space="preserve">. To estimate the effective binary diffusion coefficients in the porous catalyst phase, the Bruggeman correlation (Eq. 4) was used to account for the porous effects on gas diffusion </w:t>
      </w:r>
      <w:r>
        <w:rPr>
          <w:lang w:val="en-US" w:eastAsia="en-ZA" w:bidi="en-US"/>
        </w:rPr>
        <w:fldChar w:fldCharType="begin" w:fldLock="1"/>
      </w:r>
      <w:r>
        <w:rPr>
          <w:lang w:val="en-US" w:eastAsia="en-ZA" w:bidi="en-US"/>
        </w:rPr>
        <w:instrText>ADDIN CSL_CITATION { "citationItems" : [ { "id" : "ITEM-1", "itemData" : { "author" : [ { "dropping-particle" : "", "family" : "T. Fuller", "given" : "", "non-dropping-particle" : "", "parse-names" : false, "suffix" : "" }, { "dropping-particle" : "", "family" : "Hartnig", "given" : "C.", "non-dropping-particle" : "", "parse-names" : false, "suffix" : "" }, { "dropping-particle" : "", "family" : "Ramani", "given" : "V.", "non-dropping-particle" : "", "parse-names" : false, "suffix" : "" }, { "dropping-particle" : "", "family" : "Uchida", "given" : "H.", "non-dropping-particle" : "", "parse-names" : false, "suffix" : "" }, { "dropping-particle" : "", "family" : "Gasteiger", "given" : "H.A.", "non-dropping-particle" : "", "parse-names" : false, "suffix" : "" }, { "dropping-particle" : "", "family" : "Cleghorn", "given" : "S.", "non-dropping-particle" : "", "parse-names" : false, "suffix" : "" }, { "dropping-particle" : "", "family" : "Strasser", "given" : "P.", "non-dropping-particle" : "", "parse-names" : false, "suffix" : "" }, { "dropping-particle" : "", "family" : "Zawodzinski", "given" : "T.", "non-dropping-particle" : "", "parse-names" : false, "suffix" : "" }, { "dropping-particle" : "", "family" : "Jones", "given" : "D.", "non-dropping-particle" : "", "parse-names" : false, "suffix" : "" }, { "dropping-particle" : "", "family" : "Shirvanian", "given" : "P.", "non-dropping-particle" : "", "parse-names" : false, "suffix" : "" }, { "dropping-particle" : "", "family" : "Jarvi", "given" : "T.", "non-dropping-particle" : "", "parse-names" : false, "suffix" : "" }, { "dropping-particle" : "", "family" : "Zelenay", "given" : "P.", "non-dropping-particle" : "", "parse-names" : false, "suffix" : "" }, { "dropping-particle" : "", "family" : "Lamy", "given" : "C.", "non-dropping-particle" : "", "parse-names" : false, "suffix" : "" }, { "dropping-particle" : "", "family" : "Bele", "given" : "C.", "non-dropping-particle" : "", "parse-names" : false, "suffix" : "" } ], "id" : "ITEM-1", "issued" : { "date-parts" : [ [ "1987" ] ] }, "publisher" : "The Electrochemical Society", "publisher-place" : "New York", "title" : "Proton Exchange Membrane Fuel Cells 9: ECS Transactions: Volume 25, Issue 1", "type" : "book" }, "uris" : [ "http://www.mendeley.com/documents/?uuid=02e91f3b-da85-42da-9d9b-4639b114bdd6" ] } ], "mendeley" : { "formattedCitation" : "[49]", "plainTextFormattedCitation" : "[49]", "previouslyFormattedCitation" : "[49]" }, "properties" : { "noteIndex" : 0 }, "schema" : "https://github.com/citation-style-language/schema/raw/master/csl-citation.json" }</w:instrText>
      </w:r>
      <w:r>
        <w:rPr>
          <w:lang w:val="en-US" w:eastAsia="en-ZA" w:bidi="en-US"/>
        </w:rPr>
        <w:fldChar w:fldCharType="separate"/>
      </w:r>
      <w:r>
        <w:rPr>
          <w:noProof/>
          <w:lang w:val="en-US" w:eastAsia="en-ZA" w:bidi="en-US"/>
        </w:rPr>
        <w:t>[48]</w:t>
      </w:r>
      <w:r>
        <w:rPr>
          <w:lang w:val="en-US" w:eastAsia="en-ZA" w:bidi="en-US"/>
        </w:rPr>
        <w:fldChar w:fldCharType="end"/>
      </w:r>
      <w:r>
        <w:rPr>
          <w:lang w:val="en-US" w:eastAsia="en-ZA" w:bidi="en-US"/>
        </w:rPr>
        <w:t>.</w:t>
      </w:r>
    </w:p>
    <w:p>
      <w:pPr>
        <w:jc w:val="center"/>
        <w:rPr>
          <w:lang w:val="en-US" w:eastAsia="en-ZA" w:bidi="en-US"/>
        </w:rPr>
      </w:pPr>
      <m:oMath>
        <m:sSub>
          <m:sSubPr>
            <m:ctrlPr>
              <w:rPr>
                <w:rFonts w:ascii="Cambria Math" w:hAnsi="Cambria Math"/>
                <w:i/>
                <w:lang w:val="en-US" w:eastAsia="en-ZA" w:bidi="en-US"/>
              </w:rPr>
            </m:ctrlPr>
          </m:sSubPr>
          <m:e>
            <m:r>
              <w:rPr>
                <w:rFonts w:ascii="Cambria Math" w:hAnsi="Cambria Math"/>
                <w:lang w:val="en-US" w:eastAsia="en-ZA" w:bidi="en-US"/>
              </w:rPr>
              <m:t>D</m:t>
            </m:r>
          </m:e>
          <m:sub>
            <m:r>
              <w:rPr>
                <w:rFonts w:ascii="Cambria Math" w:hAnsi="Cambria Math"/>
                <w:lang w:val="en-US" w:eastAsia="en-ZA" w:bidi="en-US"/>
              </w:rPr>
              <m:t>ij</m:t>
            </m:r>
          </m:sub>
        </m:sSub>
        <m:r>
          <w:rPr>
            <w:rFonts w:ascii="Cambria Math" w:hAnsi="Cambria Math"/>
            <w:lang w:val="en-US" w:eastAsia="en-ZA" w:bidi="en-US"/>
          </w:rPr>
          <m:t xml:space="preserve">= </m:t>
        </m:r>
        <m:f>
          <m:fPr>
            <m:ctrlPr>
              <w:rPr>
                <w:rFonts w:ascii="Cambria Math" w:hAnsi="Cambria Math"/>
                <w:i/>
                <w:lang w:val="en-US" w:eastAsia="en-ZA" w:bidi="en-US"/>
              </w:rPr>
            </m:ctrlPr>
          </m:fPr>
          <m:num>
            <m:sSup>
              <m:sSupPr>
                <m:ctrlPr>
                  <w:rPr>
                    <w:rFonts w:ascii="Cambria Math" w:hAnsi="Cambria Math"/>
                    <w:i/>
                    <w:lang w:val="en-US" w:eastAsia="en-ZA" w:bidi="en-US"/>
                  </w:rPr>
                </m:ctrlPr>
              </m:sSupPr>
              <m:e>
                <m:r>
                  <w:rPr>
                    <w:rFonts w:ascii="Cambria Math" w:hAnsi="Cambria Math"/>
                    <w:lang w:val="en-US" w:eastAsia="en-ZA" w:bidi="en-US"/>
                  </w:rPr>
                  <m:t>10</m:t>
                </m:r>
              </m:e>
              <m:sup>
                <m:r>
                  <w:rPr>
                    <w:rFonts w:ascii="Cambria Math" w:hAnsi="Cambria Math"/>
                    <w:lang w:val="en-US" w:eastAsia="en-ZA" w:bidi="en-US"/>
                  </w:rPr>
                  <m:t>-3</m:t>
                </m:r>
              </m:sup>
            </m:sSup>
            <m:sSup>
              <m:sSupPr>
                <m:ctrlPr>
                  <w:rPr>
                    <w:rFonts w:ascii="Cambria Math" w:hAnsi="Cambria Math"/>
                    <w:i/>
                    <w:lang w:val="en-US" w:eastAsia="en-ZA" w:bidi="en-US"/>
                  </w:rPr>
                </m:ctrlPr>
              </m:sSupPr>
              <m:e>
                <m:r>
                  <w:rPr>
                    <w:rFonts w:ascii="Cambria Math" w:hAnsi="Cambria Math"/>
                    <w:lang w:val="en-US" w:eastAsia="en-ZA" w:bidi="en-US"/>
                  </w:rPr>
                  <m:t>T</m:t>
                </m:r>
              </m:e>
              <m:sup>
                <m:r>
                  <w:rPr>
                    <w:rFonts w:ascii="Cambria Math" w:hAnsi="Cambria Math"/>
                    <w:lang w:val="en-US" w:eastAsia="en-ZA" w:bidi="en-US"/>
                  </w:rPr>
                  <m:t>1.75</m:t>
                </m:r>
              </m:sup>
            </m:sSup>
            <m:sSup>
              <m:sSupPr>
                <m:ctrlPr>
                  <w:rPr>
                    <w:rFonts w:ascii="Cambria Math" w:hAnsi="Cambria Math"/>
                    <w:i/>
                    <w:lang w:val="en-US" w:eastAsia="en-ZA" w:bidi="en-US"/>
                  </w:rPr>
                </m:ctrlPr>
              </m:sSupPr>
              <m:e>
                <m:d>
                  <m:dPr>
                    <m:ctrlPr>
                      <w:rPr>
                        <w:rFonts w:ascii="Cambria Math" w:hAnsi="Cambria Math"/>
                        <w:i/>
                        <w:lang w:val="en-US" w:eastAsia="en-ZA" w:bidi="en-US"/>
                      </w:rPr>
                    </m:ctrlPr>
                  </m:dPr>
                  <m:e>
                    <m:f>
                      <m:fPr>
                        <m:ctrlPr>
                          <w:rPr>
                            <w:rFonts w:ascii="Cambria Math" w:hAnsi="Cambria Math"/>
                            <w:i/>
                            <w:lang w:val="en-US" w:eastAsia="en-ZA" w:bidi="en-US"/>
                          </w:rPr>
                        </m:ctrlPr>
                      </m:fPr>
                      <m:num>
                        <m:r>
                          <w:rPr>
                            <w:rFonts w:ascii="Cambria Math" w:hAnsi="Cambria Math"/>
                            <w:lang w:val="en-US" w:eastAsia="en-ZA" w:bidi="en-US"/>
                          </w:rPr>
                          <m:t>1</m:t>
                        </m:r>
                      </m:num>
                      <m:den>
                        <m:sSub>
                          <m:sSubPr>
                            <m:ctrlPr>
                              <w:rPr>
                                <w:rFonts w:ascii="Cambria Math" w:hAnsi="Cambria Math"/>
                                <w:i/>
                                <w:lang w:val="en-US" w:eastAsia="en-ZA" w:bidi="en-US"/>
                              </w:rPr>
                            </m:ctrlPr>
                          </m:sSubPr>
                          <m:e>
                            <m:r>
                              <w:rPr>
                                <w:rFonts w:ascii="Cambria Math" w:hAnsi="Cambria Math"/>
                                <w:lang w:val="en-US" w:eastAsia="en-ZA" w:bidi="en-US"/>
                              </w:rPr>
                              <m:t>M</m:t>
                            </m:r>
                          </m:e>
                          <m:sub>
                            <m:r>
                              <w:rPr>
                                <w:rFonts w:ascii="Cambria Math" w:hAnsi="Cambria Math"/>
                                <w:lang w:val="en-US" w:eastAsia="en-ZA" w:bidi="en-US"/>
                              </w:rPr>
                              <m:t>i</m:t>
                            </m:r>
                          </m:sub>
                        </m:sSub>
                      </m:den>
                    </m:f>
                    <m:r>
                      <w:rPr>
                        <w:rFonts w:ascii="Cambria Math" w:hAnsi="Cambria Math"/>
                        <w:lang w:val="en-US" w:eastAsia="en-ZA" w:bidi="en-US"/>
                      </w:rPr>
                      <m:t xml:space="preserve">+ </m:t>
                    </m:r>
                    <m:f>
                      <m:fPr>
                        <m:ctrlPr>
                          <w:rPr>
                            <w:rFonts w:ascii="Cambria Math" w:hAnsi="Cambria Math"/>
                            <w:i/>
                            <w:lang w:val="en-US" w:eastAsia="en-ZA" w:bidi="en-US"/>
                          </w:rPr>
                        </m:ctrlPr>
                      </m:fPr>
                      <m:num>
                        <m:r>
                          <w:rPr>
                            <w:rFonts w:ascii="Cambria Math" w:hAnsi="Cambria Math"/>
                            <w:lang w:val="en-US" w:eastAsia="en-ZA" w:bidi="en-US"/>
                          </w:rPr>
                          <m:t>1</m:t>
                        </m:r>
                      </m:num>
                      <m:den>
                        <m:sSub>
                          <m:sSubPr>
                            <m:ctrlPr>
                              <w:rPr>
                                <w:rFonts w:ascii="Cambria Math" w:hAnsi="Cambria Math"/>
                                <w:i/>
                                <w:lang w:val="en-US" w:eastAsia="en-ZA" w:bidi="en-US"/>
                              </w:rPr>
                            </m:ctrlPr>
                          </m:sSubPr>
                          <m:e>
                            <m:r>
                              <w:rPr>
                                <w:rFonts w:ascii="Cambria Math" w:hAnsi="Cambria Math"/>
                                <w:lang w:val="en-US" w:eastAsia="en-ZA" w:bidi="en-US"/>
                              </w:rPr>
                              <m:t>M</m:t>
                            </m:r>
                          </m:e>
                          <m:sub>
                            <m:r>
                              <w:rPr>
                                <w:rFonts w:ascii="Cambria Math" w:hAnsi="Cambria Math"/>
                                <w:lang w:val="en-US" w:eastAsia="en-ZA" w:bidi="en-US"/>
                              </w:rPr>
                              <m:t>j</m:t>
                            </m:r>
                          </m:sub>
                        </m:sSub>
                      </m:den>
                    </m:f>
                  </m:e>
                </m:d>
              </m:e>
              <m:sup>
                <m:f>
                  <m:fPr>
                    <m:ctrlPr>
                      <w:rPr>
                        <w:rFonts w:ascii="Cambria Math" w:hAnsi="Cambria Math"/>
                        <w:i/>
                        <w:lang w:val="en-US" w:eastAsia="en-ZA" w:bidi="en-US"/>
                      </w:rPr>
                    </m:ctrlPr>
                  </m:fPr>
                  <m:num>
                    <m:r>
                      <w:rPr>
                        <w:rFonts w:ascii="Cambria Math" w:hAnsi="Cambria Math"/>
                        <w:lang w:val="en-US" w:eastAsia="en-ZA" w:bidi="en-US"/>
                      </w:rPr>
                      <m:t>1</m:t>
                    </m:r>
                  </m:num>
                  <m:den>
                    <m:r>
                      <w:rPr>
                        <w:rFonts w:ascii="Cambria Math" w:hAnsi="Cambria Math"/>
                        <w:lang w:val="en-US" w:eastAsia="en-ZA" w:bidi="en-US"/>
                      </w:rPr>
                      <m:t>2</m:t>
                    </m:r>
                  </m:den>
                </m:f>
              </m:sup>
            </m:sSup>
          </m:num>
          <m:den>
            <m:sSub>
              <m:sSubPr>
                <m:ctrlPr>
                  <w:rPr>
                    <w:rFonts w:ascii="Cambria Math" w:hAnsi="Cambria Math"/>
                    <w:i/>
                    <w:lang w:val="en-US" w:eastAsia="en-ZA" w:bidi="en-US"/>
                  </w:rPr>
                </m:ctrlPr>
              </m:sSubPr>
              <m:e>
                <m:r>
                  <w:rPr>
                    <w:rFonts w:ascii="Cambria Math" w:hAnsi="Cambria Math"/>
                    <w:lang w:val="en-US" w:eastAsia="en-ZA" w:bidi="en-US"/>
                  </w:rPr>
                  <m:t>P</m:t>
                </m:r>
              </m:e>
              <m:sub>
                <m:r>
                  <w:rPr>
                    <w:rFonts w:ascii="Cambria Math" w:hAnsi="Cambria Math"/>
                    <w:lang w:val="en-US" w:eastAsia="en-ZA" w:bidi="en-US"/>
                  </w:rPr>
                  <m:t>atm</m:t>
                </m:r>
              </m:sub>
            </m:sSub>
            <m:sSup>
              <m:sSupPr>
                <m:ctrlPr>
                  <w:rPr>
                    <w:rFonts w:ascii="Cambria Math" w:hAnsi="Cambria Math"/>
                    <w:i/>
                    <w:lang w:val="en-US" w:eastAsia="en-ZA" w:bidi="en-US"/>
                  </w:rPr>
                </m:ctrlPr>
              </m:sSupPr>
              <m:e>
                <m:d>
                  <m:dPr>
                    <m:begChr m:val="["/>
                    <m:endChr m:val="]"/>
                    <m:ctrlPr>
                      <w:rPr>
                        <w:rFonts w:ascii="Cambria Math" w:hAnsi="Cambria Math"/>
                        <w:i/>
                        <w:lang w:val="en-US" w:eastAsia="en-ZA" w:bidi="en-US"/>
                      </w:rPr>
                    </m:ctrlPr>
                  </m:dPr>
                  <m:e>
                    <m:sSup>
                      <m:sSupPr>
                        <m:ctrlPr>
                          <w:rPr>
                            <w:rFonts w:ascii="Cambria Math" w:hAnsi="Cambria Math"/>
                            <w:i/>
                            <w:lang w:val="en-US" w:eastAsia="en-ZA" w:bidi="en-US"/>
                          </w:rPr>
                        </m:ctrlPr>
                      </m:sSupPr>
                      <m:e>
                        <m:d>
                          <m:dPr>
                            <m:ctrlPr>
                              <w:rPr>
                                <w:rFonts w:ascii="Cambria Math" w:hAnsi="Cambria Math"/>
                                <w:i/>
                                <w:lang w:val="en-US" w:eastAsia="en-ZA" w:bidi="en-US"/>
                              </w:rPr>
                            </m:ctrlPr>
                          </m:dPr>
                          <m:e>
                            <m:sSub>
                              <m:sSubPr>
                                <m:ctrlPr>
                                  <w:rPr>
                                    <w:rFonts w:ascii="Cambria Math" w:hAnsi="Cambria Math"/>
                                    <w:i/>
                                    <w:lang w:val="en-US" w:eastAsia="en-ZA" w:bidi="en-US"/>
                                  </w:rPr>
                                </m:ctrlPr>
                              </m:sSubPr>
                              <m:e>
                                <m:nary>
                                  <m:naryPr>
                                    <m:chr m:val="∑"/>
                                    <m:limLoc m:val="undOvr"/>
                                    <m:subHide m:val="1"/>
                                    <m:supHide m:val="1"/>
                                    <m:ctrlPr>
                                      <w:rPr>
                                        <w:rFonts w:ascii="Cambria Math" w:hAnsi="Cambria Math"/>
                                        <w:i/>
                                        <w:lang w:val="en-US" w:eastAsia="en-ZA" w:bidi="en-US"/>
                                      </w:rPr>
                                    </m:ctrlPr>
                                  </m:naryPr>
                                  <m:sub/>
                                  <m:sup/>
                                  <m:e>
                                    <m:r>
                                      <w:rPr>
                                        <w:rFonts w:ascii="Cambria Math" w:hAnsi="Cambria Math"/>
                                        <w:lang w:val="en-US" w:eastAsia="en-ZA" w:bidi="en-US"/>
                                      </w:rPr>
                                      <m:t>v</m:t>
                                    </m:r>
                                  </m:e>
                                </m:nary>
                              </m:e>
                              <m:sub>
                                <m:r>
                                  <w:rPr>
                                    <w:rFonts w:ascii="Cambria Math" w:hAnsi="Cambria Math"/>
                                    <w:lang w:val="en-US" w:eastAsia="en-ZA" w:bidi="en-US"/>
                                  </w:rPr>
                                  <m:t>i</m:t>
                                </m:r>
                              </m:sub>
                            </m:sSub>
                          </m:e>
                        </m:d>
                      </m:e>
                      <m:sup>
                        <m:f>
                          <m:fPr>
                            <m:ctrlPr>
                              <w:rPr>
                                <w:rFonts w:ascii="Cambria Math" w:hAnsi="Cambria Math"/>
                                <w:i/>
                                <w:lang w:val="en-US" w:eastAsia="en-ZA" w:bidi="en-US"/>
                              </w:rPr>
                            </m:ctrlPr>
                          </m:fPr>
                          <m:num>
                            <m:r>
                              <w:rPr>
                                <w:rFonts w:ascii="Cambria Math" w:hAnsi="Cambria Math"/>
                                <w:lang w:val="en-US" w:eastAsia="en-ZA" w:bidi="en-US"/>
                              </w:rPr>
                              <m:t>1</m:t>
                            </m:r>
                          </m:num>
                          <m:den>
                            <m:r>
                              <w:rPr>
                                <w:rFonts w:ascii="Cambria Math" w:hAnsi="Cambria Math"/>
                                <w:lang w:val="en-US" w:eastAsia="en-ZA" w:bidi="en-US"/>
                              </w:rPr>
                              <m:t>3</m:t>
                            </m:r>
                          </m:den>
                        </m:f>
                      </m:sup>
                    </m:sSup>
                    <m:r>
                      <w:rPr>
                        <w:rFonts w:ascii="Cambria Math" w:hAnsi="Cambria Math"/>
                        <w:lang w:val="en-US" w:eastAsia="en-ZA" w:bidi="en-US"/>
                      </w:rPr>
                      <m:t xml:space="preserve">+ </m:t>
                    </m:r>
                    <m:sSup>
                      <m:sSupPr>
                        <m:ctrlPr>
                          <w:rPr>
                            <w:rFonts w:ascii="Cambria Math" w:hAnsi="Cambria Math"/>
                            <w:i/>
                            <w:lang w:val="en-US" w:eastAsia="en-ZA" w:bidi="en-US"/>
                          </w:rPr>
                        </m:ctrlPr>
                      </m:sSupPr>
                      <m:e>
                        <m:d>
                          <m:dPr>
                            <m:ctrlPr>
                              <w:rPr>
                                <w:rFonts w:ascii="Cambria Math" w:hAnsi="Cambria Math"/>
                                <w:i/>
                                <w:lang w:val="en-US" w:eastAsia="en-ZA" w:bidi="en-US"/>
                              </w:rPr>
                            </m:ctrlPr>
                          </m:dPr>
                          <m:e>
                            <m:sSub>
                              <m:sSubPr>
                                <m:ctrlPr>
                                  <w:rPr>
                                    <w:rFonts w:ascii="Cambria Math" w:hAnsi="Cambria Math"/>
                                    <w:i/>
                                    <w:lang w:val="en-US" w:eastAsia="en-ZA" w:bidi="en-US"/>
                                  </w:rPr>
                                </m:ctrlPr>
                              </m:sSubPr>
                              <m:e>
                                <m:nary>
                                  <m:naryPr>
                                    <m:chr m:val="∑"/>
                                    <m:limLoc m:val="undOvr"/>
                                    <m:subHide m:val="1"/>
                                    <m:supHide m:val="1"/>
                                    <m:ctrlPr>
                                      <w:rPr>
                                        <w:rFonts w:ascii="Cambria Math" w:hAnsi="Cambria Math"/>
                                        <w:i/>
                                        <w:lang w:val="en-US" w:eastAsia="en-ZA" w:bidi="en-US"/>
                                      </w:rPr>
                                    </m:ctrlPr>
                                  </m:naryPr>
                                  <m:sub/>
                                  <m:sup/>
                                  <m:e>
                                    <m:r>
                                      <w:rPr>
                                        <w:rFonts w:ascii="Cambria Math" w:hAnsi="Cambria Math"/>
                                        <w:lang w:val="en-US" w:eastAsia="en-ZA" w:bidi="en-US"/>
                                      </w:rPr>
                                      <m:t>v</m:t>
                                    </m:r>
                                  </m:e>
                                </m:nary>
                              </m:e>
                              <m:sub>
                                <m:r>
                                  <w:rPr>
                                    <w:rFonts w:ascii="Cambria Math" w:hAnsi="Cambria Math"/>
                                    <w:lang w:val="en-US" w:eastAsia="en-ZA" w:bidi="en-US"/>
                                  </w:rPr>
                                  <m:t>j</m:t>
                                </m:r>
                              </m:sub>
                            </m:sSub>
                          </m:e>
                        </m:d>
                      </m:e>
                      <m:sup>
                        <m:f>
                          <m:fPr>
                            <m:ctrlPr>
                              <w:rPr>
                                <w:rFonts w:ascii="Cambria Math" w:hAnsi="Cambria Math"/>
                                <w:i/>
                                <w:lang w:val="en-US" w:eastAsia="en-ZA" w:bidi="en-US"/>
                              </w:rPr>
                            </m:ctrlPr>
                          </m:fPr>
                          <m:num>
                            <m:r>
                              <w:rPr>
                                <w:rFonts w:ascii="Cambria Math" w:hAnsi="Cambria Math"/>
                                <w:lang w:val="en-US" w:eastAsia="en-ZA" w:bidi="en-US"/>
                              </w:rPr>
                              <m:t>1</m:t>
                            </m:r>
                          </m:num>
                          <m:den>
                            <m:r>
                              <w:rPr>
                                <w:rFonts w:ascii="Cambria Math" w:hAnsi="Cambria Math"/>
                                <w:lang w:val="en-US" w:eastAsia="en-ZA" w:bidi="en-US"/>
                              </w:rPr>
                              <m:t>3</m:t>
                            </m:r>
                          </m:den>
                        </m:f>
                      </m:sup>
                    </m:sSup>
                  </m:e>
                </m:d>
              </m:e>
              <m:sup>
                <m:r>
                  <w:rPr>
                    <w:rFonts w:ascii="Cambria Math" w:hAnsi="Cambria Math"/>
                    <w:lang w:val="en-US" w:eastAsia="en-ZA" w:bidi="en-US"/>
                  </w:rPr>
                  <m:t>2</m:t>
                </m:r>
              </m:sup>
            </m:sSup>
          </m:den>
        </m:f>
      </m:oMath>
      <w:r>
        <w:rPr>
          <w:lang w:val="en-US" w:eastAsia="en-ZA" w:bidi="en-US"/>
        </w:rPr>
        <w:t>………………(3)</w:t>
      </w:r>
    </w:p>
    <w:p>
      <w:pPr>
        <w:jc w:val="center"/>
        <w:rPr>
          <w:lang w:val="en-US" w:eastAsia="en-ZA" w:bidi="en-US"/>
        </w:rPr>
      </w:pPr>
      <m:oMath>
        <m:sSub>
          <m:sSubPr>
            <m:ctrlPr>
              <w:rPr>
                <w:rFonts w:ascii="Cambria Math" w:hAnsi="Cambria Math"/>
                <w:i/>
                <w:lang w:val="en-US" w:eastAsia="en-ZA" w:bidi="en-US"/>
              </w:rPr>
            </m:ctrlPr>
          </m:sSubPr>
          <m:e>
            <m:sSub>
              <m:sSubPr>
                <m:ctrlPr>
                  <w:rPr>
                    <w:rFonts w:ascii="Cambria Math" w:hAnsi="Cambria Math"/>
                    <w:i/>
                    <w:lang w:val="en-US" w:eastAsia="en-ZA" w:bidi="en-US"/>
                  </w:rPr>
                </m:ctrlPr>
              </m:sSubPr>
              <m:e>
                <m:r>
                  <w:rPr>
                    <w:rFonts w:ascii="Cambria Math" w:hAnsi="Cambria Math"/>
                    <w:lang w:val="en-US" w:eastAsia="en-ZA" w:bidi="en-US"/>
                  </w:rPr>
                  <m:t>D</m:t>
                </m:r>
              </m:e>
              <m:sub>
                <m:r>
                  <w:rPr>
                    <w:rFonts w:ascii="Cambria Math" w:hAnsi="Cambria Math"/>
                    <w:lang w:val="en-US" w:eastAsia="en-ZA" w:bidi="en-US"/>
                  </w:rPr>
                  <m:t>ij</m:t>
                </m:r>
              </m:sub>
            </m:sSub>
          </m:e>
          <m:sub>
            <m:r>
              <w:rPr>
                <w:rFonts w:ascii="Cambria Math" w:hAnsi="Cambria Math"/>
                <w:lang w:val="en-US" w:eastAsia="en-ZA" w:bidi="en-US"/>
              </w:rPr>
              <m:t>eff</m:t>
            </m:r>
          </m:sub>
        </m:sSub>
        <m:r>
          <w:rPr>
            <w:rFonts w:ascii="Cambria Math" w:hAnsi="Cambria Math"/>
            <w:lang w:val="en-US" w:eastAsia="en-ZA" w:bidi="en-US"/>
          </w:rPr>
          <m:t xml:space="preserve">= </m:t>
        </m:r>
        <m:sSub>
          <m:sSubPr>
            <m:ctrlPr>
              <w:rPr>
                <w:rFonts w:ascii="Cambria Math" w:hAnsi="Cambria Math"/>
                <w:i/>
                <w:lang w:val="en-US" w:eastAsia="en-ZA" w:bidi="en-US"/>
              </w:rPr>
            </m:ctrlPr>
          </m:sSubPr>
          <m:e>
            <m:r>
              <w:rPr>
                <w:rFonts w:ascii="Cambria Math" w:hAnsi="Cambria Math"/>
                <w:lang w:val="en-US" w:eastAsia="en-ZA" w:bidi="en-US"/>
              </w:rPr>
              <m:t>D</m:t>
            </m:r>
          </m:e>
          <m:sub>
            <m:r>
              <w:rPr>
                <w:rFonts w:ascii="Cambria Math" w:hAnsi="Cambria Math"/>
                <w:lang w:val="en-US" w:eastAsia="en-ZA" w:bidi="en-US"/>
              </w:rPr>
              <m:t>ij</m:t>
            </m:r>
          </m:sub>
        </m:sSub>
        <m:sSup>
          <m:sSupPr>
            <m:ctrlPr>
              <w:rPr>
                <w:rFonts w:ascii="Cambria Math" w:hAnsi="Cambria Math"/>
                <w:i/>
                <w:lang w:val="en-US" w:eastAsia="en-ZA" w:bidi="en-US"/>
              </w:rPr>
            </m:ctrlPr>
          </m:sSupPr>
          <m:e>
            <m:d>
              <m:dPr>
                <m:ctrlPr>
                  <w:rPr>
                    <w:rFonts w:ascii="Cambria Math" w:hAnsi="Cambria Math"/>
                    <w:i/>
                    <w:lang w:val="en-US" w:eastAsia="en-ZA" w:bidi="en-US"/>
                  </w:rPr>
                </m:ctrlPr>
              </m:dPr>
              <m:e>
                <m:f>
                  <m:fPr>
                    <m:ctrlPr>
                      <w:rPr>
                        <w:rFonts w:ascii="Cambria Math" w:hAnsi="Cambria Math"/>
                        <w:i/>
                        <w:lang w:val="en-US" w:eastAsia="en-ZA" w:bidi="en-US"/>
                      </w:rPr>
                    </m:ctrlPr>
                  </m:fPr>
                  <m:num>
                    <m:r>
                      <w:rPr>
                        <w:rFonts w:ascii="Cambria Math" w:hAnsi="Cambria Math"/>
                        <w:lang w:val="en-US" w:eastAsia="en-ZA" w:bidi="en-US"/>
                      </w:rPr>
                      <m:t>T</m:t>
                    </m:r>
                  </m:num>
                  <m:den>
                    <m:sSub>
                      <m:sSubPr>
                        <m:ctrlPr>
                          <w:rPr>
                            <w:rFonts w:ascii="Cambria Math" w:hAnsi="Cambria Math"/>
                            <w:i/>
                            <w:lang w:val="en-US" w:eastAsia="en-ZA" w:bidi="en-US"/>
                          </w:rPr>
                        </m:ctrlPr>
                      </m:sSubPr>
                      <m:e>
                        <m:r>
                          <w:rPr>
                            <w:rFonts w:ascii="Cambria Math" w:hAnsi="Cambria Math"/>
                            <w:lang w:val="en-US" w:eastAsia="en-ZA" w:bidi="en-US"/>
                          </w:rPr>
                          <m:t>T</m:t>
                        </m:r>
                      </m:e>
                      <m:sub>
                        <m:r>
                          <w:rPr>
                            <w:rFonts w:ascii="Cambria Math" w:hAnsi="Cambria Math"/>
                            <w:lang w:val="en-US" w:eastAsia="en-ZA" w:bidi="en-US"/>
                          </w:rPr>
                          <m:t>0</m:t>
                        </m:r>
                      </m:sub>
                    </m:sSub>
                  </m:den>
                </m:f>
              </m:e>
            </m:d>
          </m:e>
          <m:sup>
            <m:r>
              <w:rPr>
                <w:rFonts w:ascii="Cambria Math" w:hAnsi="Cambria Math"/>
                <w:lang w:val="en-US" w:eastAsia="en-ZA" w:bidi="en-US"/>
              </w:rPr>
              <m:t>1.5</m:t>
            </m:r>
          </m:sup>
        </m:sSup>
        <m:sSup>
          <m:sSupPr>
            <m:ctrlPr>
              <w:rPr>
                <w:rFonts w:ascii="Cambria Math" w:hAnsi="Cambria Math"/>
                <w:i/>
                <w:lang w:val="en-US" w:eastAsia="en-ZA" w:bidi="en-US"/>
              </w:rPr>
            </m:ctrlPr>
          </m:sSupPr>
          <m:e>
            <m:r>
              <w:rPr>
                <w:rFonts w:ascii="Cambria Math" w:hAnsi="Cambria Math"/>
                <w:lang w:val="en-US" w:eastAsia="en-ZA" w:bidi="en-US"/>
              </w:rPr>
              <m:t>ε</m:t>
            </m:r>
          </m:e>
          <m:sup>
            <m:r>
              <w:rPr>
                <w:rFonts w:ascii="Cambria Math" w:hAnsi="Cambria Math"/>
                <w:lang w:val="en-US" w:eastAsia="en-ZA" w:bidi="en-US"/>
              </w:rPr>
              <m:t>1.5</m:t>
            </m:r>
          </m:sup>
        </m:sSup>
      </m:oMath>
      <w:r>
        <w:rPr>
          <w:lang w:val="en-US" w:eastAsia="en-ZA" w:bidi="en-US"/>
        </w:rPr>
        <w:t>……………………..(4)</w:t>
      </w:r>
    </w:p>
    <w:p>
      <w:pPr>
        <w:spacing w:line="480" w:lineRule="auto"/>
        <w:ind w:firstLine="720"/>
        <w:rPr>
          <w:lang w:val="en-US" w:eastAsia="en-ZA" w:bidi="en-US"/>
        </w:rPr>
      </w:pPr>
      <w:r>
        <w:rPr>
          <w:lang w:val="en-US" w:eastAsia="en-ZA" w:bidi="en-US"/>
        </w:rPr>
        <w:t>The governing equations were solved subject to some initial and boundary conditions. A stoichiometric molar ratio as well as a flat velocity profile (using an average inlet velocity) was specified at the channel inlet. At the exit boundary (outlet), the outlet pressure was defined as the reference operational pressure for the specific reactor condition. Furthermore, velocity, temperature and species mass fluxes normal to the outlet were set to zero. The no-slip and constant wall-temperature</w:t>
      </w:r>
      <w:r>
        <w:rPr>
          <w:i/>
          <w:lang w:val="en-US" w:eastAsia="en-ZA" w:bidi="en-US"/>
        </w:rPr>
        <w:t xml:space="preserve"> </w:t>
      </w:r>
      <w:r>
        <w:rPr>
          <w:lang w:val="en-US" w:eastAsia="en-ZA" w:bidi="en-US"/>
        </w:rPr>
        <w:t>boundary conditions were applied at the channel walls. A symmetry boundary condition was applied at the center-plane to impose zero normal gradients in velocity, pressure, temperature and species mass fraction. Lastly, a continuity boundary condition was imposed for velocity, pressure, temperature and species mass fraction at the free-fluid porous catalyst interface.</w:t>
      </w:r>
    </w:p>
    <w:p>
      <w:pPr>
        <w:keepNext/>
        <w:keepLines/>
        <w:spacing w:before="200" w:after="0"/>
        <w:outlineLvl w:val="1"/>
        <w:rPr>
          <w:rFonts w:eastAsia="Times New Roman"/>
          <w:b/>
          <w:bCs/>
          <w:sz w:val="26"/>
          <w:szCs w:val="26"/>
          <w:lang w:val="en-US" w:eastAsia="en-ZA" w:bidi="en-US"/>
        </w:rPr>
      </w:pPr>
      <w:r>
        <w:rPr>
          <w:rFonts w:eastAsia="Times New Roman"/>
          <w:b/>
          <w:bCs/>
          <w:sz w:val="26"/>
          <w:szCs w:val="26"/>
          <w:lang w:val="en-US" w:eastAsia="en-ZA" w:bidi="en-US"/>
        </w:rPr>
        <w:t>2.2.3 Reaction rate equations</w:t>
      </w:r>
    </w:p>
    <w:p>
      <w:pPr>
        <w:spacing w:line="480" w:lineRule="auto"/>
        <w:ind w:firstLine="720"/>
      </w:pPr>
      <w:r>
        <w:t>Chemical reaction kinetics for the Sabatier reaction along with the RWGS reaction were used to predict the reactant consumption and product formation as observed during the experiments. In open literature, a reversible elementary rate law is exclusively used for CO</w:t>
      </w:r>
      <w:r>
        <w:rPr>
          <w:vertAlign w:val="subscript"/>
        </w:rPr>
        <w:t>2</w:t>
      </w:r>
      <w:r>
        <w:t xml:space="preserve"> methanation kinetics. The reversible elementary rate law first derived by Lunde et al. </w:t>
      </w:r>
      <w:r>
        <w:fldChar w:fldCharType="begin" w:fldLock="1"/>
      </w:r>
      <w:r>
        <w:instrText>ADDIN CSL_CITATION { "citationItems" : [ { "id" : "ITEM-1", "itemData" : { "DOI" : "10.1021/i260051a007", "ISBN" : "0884154815", "ISSN" : "0196-4305", "abstract" : "Selecting the best type of reactor for any particular chemical reaction, taking into consideration safety, hazard analysis, scale-up, and many other factors is essential to any industrial problem. An understanding of chemical reaction kinetics and the design of chemical reactors is key to the success of the of the chemist and the chemical engineer in such an endeavor. This valuable reference volume conveys a basic understanding of chemical reactor design methodologies, incorporating control, hazard analysis, and other topics not covered in similar texts. In addition to covering fluid mixing, the treatment of wastewater, and chemical reactor modeling, the author includes sections on safety in chemical reaction and scale-up, two topics that are often neglected or overlooked. As a real-world introduction to the modeling of chemical kinetics and reactor design, the author includes a case study on ammonia synthesis that is integrated throughout the text. The text also features an accompanying CD, which contains computer programs developed to solve modeling problems using numerical methods. Students, chemists, technologists, and chemical engineers will all benefit from this comprehensive volume.", "author" : [ { "dropping-particle" : "", "family" : "Lunde", "given" : "Peter J.", "non-dropping-particle" : "", "parse-names" : false, "suffix" : "" } ], "container-title" : "Industrial &amp; Engineering Chemistry Process Design and Development", "id" : "ITEM-1", "issue" : "3", "issued" : { "date-parts" : [ [ "1974" ] ] }, "page" : "226-233", "title" : "Modeling, Simulation, and Operation of a Sabatier Reactor", "type" : "article-journal", "volume" : "13" }, "uris" : [ "http://www.mendeley.com/documents/?uuid=16b97760-d2f5-45cb-8404-6d83ee572d24" ] }, { "id" : "ITEM-2", "itemData" : { "DOI" : "10.1021/i260049a005", "ISBN" : "0196-4305", "ISSN" : "0196-4305", "PMID" : "25246403", "abstract" : "An empirical expression was determined for the rate of methanation of carbon dioxide with hydrogen from 200 to 350\u00b0 on a 0.5% ruthenium on alumina catalyst according to 4H\\n                        2(g) + CO\\n                        2(g) \u21cc 2H\\n                        2O(g) + CH\\n                        4(g) + 43 kcal. Feed ratios. (H\\n                        2:CO\\n                        2) of 2:1 and just under 4:1 were investigated by using partly reacted feed gases to reduce reaction rates as necessary to keep the test reactor isothermal. Sixty-eight tests were conducted using a small (0.5 in. diameter \u00d7 1.75 in. length) reactor filled with commercially available catalyst held at a constant temperature and atmospheric pressure. A complete description of the experimental apparatus is given. Theoretical equilibrium compositions for the feed mixture from 200 to 800\u00b0 are presented.", "author" : [ { "dropping-particle" : "", "family" : "Lunde", "given" : "Peter J.", "non-dropping-particle" : "", "parse-names" : false, "suffix" : "" }, { "dropping-particle" : "", "family" : "Kester", "given" : "Frank L.", "non-dropping-particle" : "", "parse-names" : false, "suffix" : "" } ], "container-title" : "Industrial &amp; Engineering Chemistry Process Design and Development", "id" : "ITEM-2", "issue" : "1", "issued" : { "date-parts" : [ [ "1974" ] ] }, "page" : "27-33", "title" : "Carbon Dioxide Methanation on a Ruthenium Catalyst", "type" : "article-journal", "volume" : "13" }, "uris" : [ "http://www.mendeley.com/documents/?uuid=eec59ab1-b585-4972-9573-af827dff46f1" ] }, { "id" : "ITEM-3", "itemData" : { "DOI" : "10.1016/0021-9517(73)90159-0", "ISSN" : "00219517", "abstract" : "The Sabatier Reaction, 4H2 + CO2 2H2O + CH4 + 43 kcal was examined experimentally at 1 atm using a 0.5% ruthenium on alumina catalyst. Data are given from 62 experimental runs made in a 4.15 cm3 isothermal reactor with from 0 to 85% conversion in the inlet feed gases and feed flow ratios (H2 to CO2) of 1.9 to 3.9, and temperatures from 400 to 680 \u00b0F. Empirical correlations, based on modified gas phase kinetics, were made to describe the reaction rate over the experimental range.", "author" : [ { "dropping-particle" : "", "family" : "LUNDE", "given" : "P", "non-dropping-particle" : "", "parse-names" : false, "suffix" : "" } ], "container-title" : "Journal of Catalysis", "id" : "ITEM-3", "issue" : "3", "issued" : { "date-parts" : [ [ "1973" ] ] }, "page" : "423-429", "title" : "Rates of methane formation from carbon dioxide and hydrogen over a ruthenium catalyst*1", "type" : "article-journal", "volume" : "30" }, "uris" : [ "http://www.mendeley.com/documents/?uuid=45746ff1-fd29-4f88-841e-11800c746a0e" ] } ], "mendeley" : { "formattedCitation" : "[21,50,51]", "plainTextFormattedCitation" : "[21,50,51]", "previouslyFormattedCitation" : "[21,50,51]" }, "properties" : { "noteIndex" : 0 }, "schema" : "https://github.com/citation-style-language/schema/raw/master/csl-citation.json" }</w:instrText>
      </w:r>
      <w:r>
        <w:fldChar w:fldCharType="separate"/>
      </w:r>
      <w:r>
        <w:rPr>
          <w:noProof/>
        </w:rPr>
        <w:t>[21,49,50]</w:t>
      </w:r>
      <w:r>
        <w:fldChar w:fldCharType="end"/>
      </w:r>
      <w:r>
        <w:t xml:space="preserve"> for the Sabatier reaction was modified by Ohya et al. </w:t>
      </w:r>
      <w:r>
        <w:fldChar w:fldCharType="begin" w:fldLock="1"/>
      </w:r>
      <w:r>
        <w:instrText>ADDIN CSL_CITATION { "citationItems" : [ { "id" : "ITEM-1", "itemData" : { "DOI" : "10.1016/S0376-7388(97)00055-0", "ISSN" : "03767388", "abstract" : "Using membrane reactor integrated with water vapor permselective membrane, the Sabatier reaction for the methanation of carbon dioxide with hydrogen, CO2 + 4H2 ??? CH4+2H2O, was investigated. The reaction experiments were carried out under the conditions of superficial space velocity 0.030-0.123 s-1, molar ratio of H2 to CO2 in the feed gas, 1-5, operating pressure 0.2 MPa absolute, and temperature 480-719 K. The conversion was increased about 18% in maximum with the membrane. Theoretical equations for Sabatier reaction with and without membrane were derived and applied to analyze the experimental data of CO2 conversion.", "author" : [ { "dropping-particle" : "", "family" : "Ohya", "given" : "Haruhiko", "non-dropping-particle" : "", "parse-names" : false, "suffix" : "" }, { "dropping-particle" : "", "family" : "Fun", "given" : "Jun", "non-dropping-particle" : "", "parse-names" : false, "suffix" : "" }, { "dropping-particle" : "", "family" : "Kawamura", "given" : "Hironori", "non-dropping-particle" : "", "parse-names" : false, "suffix" : "" }, { "dropping-particle" : "", "family" : "Itoh", "given" : "Koutarou", "non-dropping-particle" : "", "parse-names" : false, "suffix" : "" }, { "dropping-particle" : "", "family" : "Ohashi", "given" : "Hirofumi", "non-dropping-particle" : "", "parse-names" : false, "suffix" : "" }, { "dropping-particle" : "", "family" : "Aihara", "given" : "Masahiko", "non-dropping-particle" : "", "parse-names" : false, "suffix" : "" }, { "dropping-particle" : "", "family" : "Tanisho", "given" : "Shigeharu", "non-dropping-particle" : "", "parse-names" : false, "suffix" : "" }, { "dropping-particle" : "", "family" : "Negishi", "given" : "Youichi", "non-dropping-particle" : "", "parse-names" : false, "suffix" : "" } ], "container-title" : "Journal of Membrane Science", "id" : "ITEM-1", "issue" : "1-2", "issued" : { "date-parts" : [ [ "1997" ] ] }, "page" : "237-247", "title" : "Methanation of carbon dioxide by using membrane reactor integrated with water vapor permselective membrane and its analysis", "type" : "article-journal", "volume" : "131" }, "uris" : [ "http://www.mendeley.com/documents/?uuid=254854ec-b476-4a36-bb7f-d70f3510ad47" ] } ], "mendeley" : { "formattedCitation" : "[23]", "plainTextFormattedCitation" : "[23]", "previouslyFormattedCitation" : "[23]" }, "properties" : { "noteIndex" : 0 }, "schema" : "https://github.com/citation-style-language/schema/raw/master/csl-citation.json" }</w:instrText>
      </w:r>
      <w:r>
        <w:fldChar w:fldCharType="separate"/>
      </w:r>
      <w:r>
        <w:rPr>
          <w:noProof/>
        </w:rPr>
        <w:t>[23]</w:t>
      </w:r>
      <w:r>
        <w:fldChar w:fldCharType="end"/>
      </w:r>
      <w:r>
        <w:t xml:space="preserve"> in Eq. (5</w:t>
      </w:r>
      <w:r>
        <w:rPr>
          <w:rFonts w:cs="Arial"/>
        </w:rPr>
        <w:t xml:space="preserve"> and </w:t>
      </w:r>
      <w:r>
        <w:t>6), where reaction order (n), activation energy (E</w:t>
      </w:r>
      <w:r>
        <w:rPr>
          <w:vertAlign w:val="subscript"/>
        </w:rPr>
        <w:t>a</w:t>
      </w:r>
      <w:r>
        <w:t xml:space="preserve">), and pre-exponential constant (A) were found to be </w:t>
      </w:r>
      <w:r>
        <w:lastRenderedPageBreak/>
        <w:t>0.85, 69.06 kJ.mol</w:t>
      </w:r>
      <w:r>
        <w:rPr>
          <w:vertAlign w:val="superscript"/>
        </w:rPr>
        <w:t>-1</w:t>
      </w:r>
      <w:r>
        <w:t xml:space="preserve"> and 4.75×10</w:t>
      </w:r>
      <w:r>
        <w:rPr>
          <w:vertAlign w:val="superscript"/>
        </w:rPr>
        <w:t>5</w:t>
      </w:r>
      <w:r>
        <w:t xml:space="preserve"> bar</w:t>
      </w:r>
      <w:r>
        <w:rPr>
          <w:vertAlign w:val="superscript"/>
        </w:rPr>
        <w:t>-2.5</w:t>
      </w:r>
      <w:r>
        <w:t>.s</w:t>
      </w:r>
      <w:r>
        <w:rPr>
          <w:vertAlign w:val="superscript"/>
        </w:rPr>
        <w:t>-1</w:t>
      </w:r>
      <w:r>
        <w:t>, respectively. A different catalyst (0.5 wt.% Ru/Al</w:t>
      </w:r>
      <w:r>
        <w:rPr>
          <w:vertAlign w:val="subscript"/>
        </w:rPr>
        <w:t>2</w:t>
      </w:r>
      <w:r>
        <w:t>O</w:t>
      </w:r>
      <w:r>
        <w:rPr>
          <w:vertAlign w:val="subscript"/>
        </w:rPr>
        <w:t>3</w:t>
      </w:r>
      <w:r>
        <w:t xml:space="preserve">) was used in both Lunde et al. </w:t>
      </w:r>
      <w:r>
        <w:fldChar w:fldCharType="begin" w:fldLock="1"/>
      </w:r>
      <w:r>
        <w:instrText>ADDIN CSL_CITATION { "citationItems" : [ { "id" : "ITEM-1", "itemData" : { "DOI" : "10.1021/i260051a007", "ISBN" : "0884154815", "ISSN" : "0196-4305", "abstract" : "Selecting the best type of reactor for any particular chemical reaction, taking into consideration safety, hazard analysis, scale-up, and many other factors is essential to any industrial problem. An understanding of chemical reaction kinetics and the design of chemical reactors is key to the success of the of the chemist and the chemical engineer in such an endeavor. This valuable reference volume conveys a basic understanding of chemical reactor design methodologies, incorporating control, hazard analysis, and other topics not covered in similar texts. In addition to covering fluid mixing, the treatment of wastewater, and chemical reactor modeling, the author includes sections on safety in chemical reaction and scale-up, two topics that are often neglected or overlooked. As a real-world introduction to the modeling of chemical kinetics and reactor design, the author includes a case study on ammonia synthesis that is integrated throughout the text. The text also features an accompanying CD, which contains computer programs developed to solve modeling problems using numerical methods. Students, chemists, technologists, and chemical engineers will all benefit from this comprehensive volume.", "author" : [ { "dropping-particle" : "", "family" : "Lunde", "given" : "Peter J.", "non-dropping-particle" : "", "parse-names" : false, "suffix" : "" } ], "container-title" : "Industrial &amp; Engineering Chemistry Process Design and Development", "id" : "ITEM-1", "issue" : "3", "issued" : { "date-parts" : [ [ "1974" ] ] }, "page" : "226-233", "title" : "Modeling, Simulation, and Operation of a Sabatier Reactor", "type" : "article-journal", "volume" : "13" }, "uris" : [ "http://www.mendeley.com/documents/?uuid=16b97760-d2f5-45cb-8404-6d83ee572d24" ] }, { "id" : "ITEM-2", "itemData" : { "DOI" : "10.1021/i260049a005", "ISBN" : "0196-4305", "ISSN" : "0196-4305", "PMID" : "25246403", "abstract" : "An empirical expression was determined for the rate of methanation of carbon dioxide with hydrogen from 200 to 350\u00b0 on a 0.5% ruthenium on alumina catalyst according to 4H\\n                        2(g) + CO\\n                        2(g) \u21cc 2H\\n                        2O(g) + CH\\n                        4(g) + 43 kcal. Feed ratios. (H\\n                        2:CO\\n                        2) of 2:1 and just under 4:1 were investigated by using partly reacted feed gases to reduce reaction rates as necessary to keep the test reactor isothermal. Sixty-eight tests were conducted using a small (0.5 in. diameter \u00d7 1.75 in. length) reactor filled with commercially available catalyst held at a constant temperature and atmospheric pressure. A complete description of the experimental apparatus is given. Theoretical equilibrium compositions for the feed mixture from 200 to 800\u00b0 are presented.", "author" : [ { "dropping-particle" : "", "family" : "Lunde", "given" : "Peter J.", "non-dropping-particle" : "", "parse-names" : false, "suffix" : "" }, { "dropping-particle" : "", "family" : "Kester", "given" : "Frank L.", "non-dropping-particle" : "", "parse-names" : false, "suffix" : "" } ], "container-title" : "Industrial &amp; Engineering Chemistry Process Design and Development", "id" : "ITEM-2", "issue" : "1", "issued" : { "date-parts" : [ [ "1974" ] ] }, "page" : "27-33", "title" : "Carbon Dioxide Methanation on a Ruthenium Catalyst", "type" : "article-journal", "volume" : "13" }, "uris" : [ "http://www.mendeley.com/documents/?uuid=eec59ab1-b585-4972-9573-af827dff46f1" ] }, { "id" : "ITEM-3", "itemData" : { "DOI" : "10.1016/0021-9517(73)90159-0", "ISSN" : "00219517", "abstract" : "The Sabatier Reaction, 4H2 + CO2 2H2O + CH4 + 43 kcal was examined experimentally at 1 atm using a 0.5% ruthenium on alumina catalyst. Data are given from 62 experimental runs made in a 4.15 cm3 isothermal reactor with from 0 to 85% conversion in the inlet feed gases and feed flow ratios (H2 to CO2) of 1.9 to 3.9, and temperatures from 400 to 680 \u00b0F. Empirical correlations, based on modified gas phase kinetics, were made to describe the reaction rate over the experimental range.", "author" : [ { "dropping-particle" : "", "family" : "LUNDE", "given" : "P", "non-dropping-particle" : "", "parse-names" : false, "suffix" : "" } ], "container-title" : "Journal of Catalysis", "id" : "ITEM-3", "issue" : "3", "issued" : { "date-parts" : [ [ "1973" ] ] }, "page" : "423-429", "title" : "Rates of methane formation from carbon dioxide and hydrogen over a ruthenium catalyst*1", "type" : "article-journal", "volume" : "30" }, "uris" : [ "http://www.mendeley.com/documents/?uuid=45746ff1-fd29-4f88-841e-11800c746a0e" ] } ], "mendeley" : { "formattedCitation" : "[21,50,51]", "plainTextFormattedCitation" : "[21,50,51]", "previouslyFormattedCitation" : "[21,50,51]" }, "properties" : { "noteIndex" : 0 }, "schema" : "https://github.com/citation-style-language/schema/raw/master/csl-citation.json" }</w:instrText>
      </w:r>
      <w:r>
        <w:fldChar w:fldCharType="separate"/>
      </w:r>
      <w:r>
        <w:rPr>
          <w:noProof/>
        </w:rPr>
        <w:t>[21,49,50]</w:t>
      </w:r>
      <w:r>
        <w:fldChar w:fldCharType="end"/>
      </w:r>
      <w:r>
        <w:t xml:space="preserve"> and Ohya et al. </w:t>
      </w:r>
      <w:r>
        <w:fldChar w:fldCharType="begin" w:fldLock="1"/>
      </w:r>
      <w:r>
        <w:instrText>ADDIN CSL_CITATION { "citationItems" : [ { "id" : "ITEM-1", "itemData" : { "DOI" : "10.1016/S0376-7388(97)00055-0", "ISSN" : "03767388", "abstract" : "Using membrane reactor integrated with water vapor permselective membrane, the Sabatier reaction for the methanation of carbon dioxide with hydrogen, CO2 + 4H2 ??? CH4+2H2O, was investigated. The reaction experiments were carried out under the conditions of superficial space velocity 0.030-0.123 s-1, molar ratio of H2 to CO2 in the feed gas, 1-5, operating pressure 0.2 MPa absolute, and temperature 480-719 K. The conversion was increased about 18% in maximum with the membrane. Theoretical equations for Sabatier reaction with and without membrane were derived and applied to analyze the experimental data of CO2 conversion.", "author" : [ { "dropping-particle" : "", "family" : "Ohya", "given" : "Haruhiko", "non-dropping-particle" : "", "parse-names" : false, "suffix" : "" }, { "dropping-particle" : "", "family" : "Fun", "given" : "Jun", "non-dropping-particle" : "", "parse-names" : false, "suffix" : "" }, { "dropping-particle" : "", "family" : "Kawamura", "given" : "Hironori", "non-dropping-particle" : "", "parse-names" : false, "suffix" : "" }, { "dropping-particle" : "", "family" : "Itoh", "given" : "Koutarou", "non-dropping-particle" : "", "parse-names" : false, "suffix" : "" }, { "dropping-particle" : "", "family" : "Ohashi", "given" : "Hirofumi", "non-dropping-particle" : "", "parse-names" : false, "suffix" : "" }, { "dropping-particle" : "", "family" : "Aihara", "given" : "Masahiko", "non-dropping-particle" : "", "parse-names" : false, "suffix" : "" }, { "dropping-particle" : "", "family" : "Tanisho", "given" : "Shigeharu", "non-dropping-particle" : "", "parse-names" : false, "suffix" : "" }, { "dropping-particle" : "", "family" : "Negishi", "given" : "Youichi", "non-dropping-particle" : "", "parse-names" : false, "suffix" : "" } ], "container-title" : "Journal of Membrane Science", "id" : "ITEM-1", "issue" : "1-2", "issued" : { "date-parts" : [ [ "1997" ] ] }, "page" : "237-247", "title" : "Methanation of carbon dioxide by using membrane reactor integrated with water vapor permselective membrane and its analysis", "type" : "article-journal", "volume" : "131" }, "uris" : [ "http://www.mendeley.com/documents/?uuid=254854ec-b476-4a36-bb7f-d70f3510ad47" ] } ], "mendeley" : { "formattedCitation" : "[23]", "plainTextFormattedCitation" : "[23]", "previouslyFormattedCitation" : "[23]" }, "properties" : { "noteIndex" : 0 }, "schema" : "https://github.com/citation-style-language/schema/raw/master/csl-citation.json" }</w:instrText>
      </w:r>
      <w:r>
        <w:fldChar w:fldCharType="separate"/>
      </w:r>
      <w:r>
        <w:rPr>
          <w:noProof/>
        </w:rPr>
        <w:t>[23]</w:t>
      </w:r>
      <w:r>
        <w:fldChar w:fldCharType="end"/>
      </w:r>
      <w:r>
        <w:t xml:space="preserve"> and at low pressure. </w:t>
      </w:r>
    </w:p>
    <w:p>
      <w:pPr>
        <w:jc w:val="center"/>
      </w:pPr>
      <m:oMath>
        <m:r>
          <w:rPr>
            <w:rFonts w:ascii="Cambria Math" w:hAnsi="Cambria Math"/>
          </w:rPr>
          <m:t>-</m:t>
        </m:r>
        <m:f>
          <m:fPr>
            <m:ctrlPr>
              <w:rPr>
                <w:rFonts w:ascii="Cambria Math" w:hAnsi="Cambria Math"/>
                <w:i/>
              </w:rPr>
            </m:ctrlPr>
          </m:fPr>
          <m:num>
            <m:r>
              <w:rPr>
                <w:rFonts w:ascii="Cambria Math" w:hAnsi="Cambria Math"/>
              </w:rPr>
              <m:t>d</m:t>
            </m:r>
            <m:sSub>
              <m:sSubPr>
                <m:ctrlPr>
                  <w:rPr>
                    <w:rFonts w:ascii="Cambria Math" w:hAnsi="Cambria Math"/>
                    <w:i/>
                  </w:rPr>
                </m:ctrlPr>
              </m:sSubPr>
              <m:e>
                <m:r>
                  <w:rPr>
                    <w:rFonts w:ascii="Cambria Math" w:hAnsi="Cambria Math"/>
                  </w:rPr>
                  <m:t>p</m:t>
                </m:r>
              </m:e>
              <m:sub>
                <m:sSub>
                  <m:sSubPr>
                    <m:ctrlPr>
                      <w:rPr>
                        <w:rFonts w:ascii="Cambria Math" w:hAnsi="Cambria Math"/>
                        <w:i/>
                      </w:rPr>
                    </m:ctrlPr>
                  </m:sSubPr>
                  <m:e>
                    <m:r>
                      <w:rPr>
                        <w:rFonts w:ascii="Cambria Math" w:hAnsi="Cambria Math"/>
                      </w:rPr>
                      <m:t>CO</m:t>
                    </m:r>
                  </m:e>
                  <m:sub>
                    <m:r>
                      <w:rPr>
                        <w:rFonts w:ascii="Cambria Math" w:hAnsi="Cambria Math"/>
                      </w:rPr>
                      <m:t>2</m:t>
                    </m:r>
                  </m:sub>
                </m:sSub>
              </m:sub>
            </m:sSub>
          </m:num>
          <m:den>
            <m:r>
              <w:rPr>
                <w:rFonts w:ascii="Cambria Math" w:hAnsi="Cambria Math"/>
              </w:rPr>
              <m:t>dt</m:t>
            </m:r>
          </m:den>
        </m:f>
        <m:r>
          <w:rPr>
            <w:rFonts w:ascii="Cambria Math" w:hAnsi="Cambria Math"/>
          </w:rPr>
          <m:t>=A</m:t>
        </m:r>
        <m:func>
          <m:funcPr>
            <m:ctrlPr>
              <w:rPr>
                <w:rFonts w:ascii="Cambria Math" w:hAnsi="Cambria Math"/>
              </w:rPr>
            </m:ctrlPr>
          </m:funcPr>
          <m:fName>
            <m:r>
              <m:rPr>
                <m:sty m:val="p"/>
              </m:rPr>
              <w:rPr>
                <w:rFonts w:ascii="Cambria Math" w:hAnsi="Cambria Math"/>
              </w:rPr>
              <m:t>exp</m:t>
            </m:r>
            <m:ctrlPr>
              <w:rPr>
                <w:rFonts w:ascii="Cambria Math" w:hAnsi="Cambria Math"/>
                <w:i/>
              </w:rPr>
            </m:ctrlPr>
          </m:fName>
          <m:e>
            <m:d>
              <m:dPr>
                <m:ctrlPr>
                  <w:rPr>
                    <w:rFonts w:ascii="Cambria Math" w:hAnsi="Cambria Math"/>
                    <w:i/>
                  </w:rPr>
                </m:ctrlPr>
              </m:dPr>
              <m:e>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a</m:t>
                        </m:r>
                      </m:sub>
                    </m:sSub>
                  </m:num>
                  <m:den>
                    <m:r>
                      <w:rPr>
                        <w:rFonts w:ascii="Cambria Math" w:hAnsi="Cambria Math"/>
                      </w:rPr>
                      <m:t>RT</m:t>
                    </m:r>
                  </m:den>
                </m:f>
              </m:e>
            </m:d>
          </m:e>
        </m:func>
        <m:r>
          <w:rPr>
            <w:rFonts w:ascii="Cambria Math" w:hAnsi="Cambria Math"/>
          </w:rPr>
          <m:t>×</m:t>
        </m:r>
        <m:d>
          <m:dPr>
            <m:begChr m:val="["/>
            <m:endChr m:val="]"/>
            <m:ctrlPr>
              <w:rPr>
                <w:rFonts w:ascii="Cambria Math" w:hAnsi="Cambria Math"/>
                <w:i/>
              </w:rPr>
            </m:ctrlPr>
          </m:dPr>
          <m:e>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p</m:t>
                        </m:r>
                      </m:e>
                      <m:sub>
                        <m:sSub>
                          <m:sSubPr>
                            <m:ctrlPr>
                              <w:rPr>
                                <w:rFonts w:ascii="Cambria Math" w:hAnsi="Cambria Math"/>
                                <w:i/>
                              </w:rPr>
                            </m:ctrlPr>
                          </m:sSubPr>
                          <m:e>
                            <m:r>
                              <w:rPr>
                                <w:rFonts w:ascii="Cambria Math" w:hAnsi="Cambria Math"/>
                              </w:rPr>
                              <m:t>CO</m:t>
                            </m:r>
                          </m:e>
                          <m:sub>
                            <m:r>
                              <w:rPr>
                                <w:rFonts w:ascii="Cambria Math" w:hAnsi="Cambria Math"/>
                              </w:rPr>
                              <m:t>2</m:t>
                            </m:r>
                          </m:sub>
                        </m:sSub>
                      </m:sub>
                    </m:sSub>
                  </m:e>
                </m:d>
              </m:e>
              <m:sup>
                <m:r>
                  <w:rPr>
                    <w:rFonts w:ascii="Cambria Math" w:hAnsi="Cambria Math"/>
                  </w:rPr>
                  <m:t>n</m:t>
                </m:r>
              </m:sup>
            </m:sSup>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p</m:t>
                        </m:r>
                      </m:e>
                      <m:sub>
                        <m:sSub>
                          <m:sSubPr>
                            <m:ctrlPr>
                              <w:rPr>
                                <w:rFonts w:ascii="Cambria Math" w:hAnsi="Cambria Math"/>
                                <w:i/>
                              </w:rPr>
                            </m:ctrlPr>
                          </m:sSubPr>
                          <m:e>
                            <m:r>
                              <w:rPr>
                                <w:rFonts w:ascii="Cambria Math" w:hAnsi="Cambria Math"/>
                              </w:rPr>
                              <m:t>H</m:t>
                            </m:r>
                          </m:e>
                          <m:sub>
                            <m:r>
                              <w:rPr>
                                <w:rFonts w:ascii="Cambria Math" w:hAnsi="Cambria Math"/>
                              </w:rPr>
                              <m:t>2</m:t>
                            </m:r>
                          </m:sub>
                        </m:sSub>
                      </m:sub>
                    </m:sSub>
                  </m:e>
                </m:d>
              </m:e>
              <m:sup>
                <m:r>
                  <w:rPr>
                    <w:rFonts w:ascii="Cambria Math" w:hAnsi="Cambria Math"/>
                  </w:rPr>
                  <m:t>4n</m:t>
                </m:r>
              </m:sup>
            </m:sSup>
            <m:r>
              <w:rPr>
                <w:rFonts w:ascii="Cambria Math" w:hAnsi="Cambria Math"/>
              </w:rPr>
              <m:t xml:space="preserve">- </m:t>
            </m:r>
            <m:f>
              <m:fPr>
                <m:ctrlPr>
                  <w:rPr>
                    <w:rFonts w:ascii="Cambria Math" w:hAnsi="Cambria Math"/>
                    <w:i/>
                  </w:rPr>
                </m:ctrlPr>
              </m:fPr>
              <m:num>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p</m:t>
                            </m:r>
                          </m:e>
                          <m:sub>
                            <m:sSub>
                              <m:sSubPr>
                                <m:ctrlPr>
                                  <w:rPr>
                                    <w:rFonts w:ascii="Cambria Math" w:hAnsi="Cambria Math"/>
                                    <w:i/>
                                  </w:rPr>
                                </m:ctrlPr>
                              </m:sSubPr>
                              <m:e>
                                <m:r>
                                  <w:rPr>
                                    <w:rFonts w:ascii="Cambria Math" w:hAnsi="Cambria Math"/>
                                  </w:rPr>
                                  <m:t>CH</m:t>
                                </m:r>
                              </m:e>
                              <m:sub>
                                <m:r>
                                  <w:rPr>
                                    <w:rFonts w:ascii="Cambria Math" w:hAnsi="Cambria Math"/>
                                  </w:rPr>
                                  <m:t>4</m:t>
                                </m:r>
                              </m:sub>
                            </m:sSub>
                          </m:sub>
                        </m:sSub>
                      </m:e>
                    </m:d>
                  </m:e>
                  <m:sup>
                    <m:r>
                      <w:rPr>
                        <w:rFonts w:ascii="Cambria Math" w:hAnsi="Cambria Math"/>
                      </w:rPr>
                      <m:t>n</m:t>
                    </m:r>
                  </m:sup>
                </m:sSup>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p</m:t>
                            </m:r>
                          </m:e>
                          <m:sub>
                            <m:sSub>
                              <m:sSubPr>
                                <m:ctrlPr>
                                  <w:rPr>
                                    <w:rFonts w:ascii="Cambria Math" w:hAnsi="Cambria Math"/>
                                    <w:i/>
                                  </w:rPr>
                                </m:ctrlPr>
                              </m:sSubPr>
                              <m:e>
                                <m:r>
                                  <w:rPr>
                                    <w:rFonts w:ascii="Cambria Math" w:hAnsi="Cambria Math"/>
                                  </w:rPr>
                                  <m:t>H</m:t>
                                </m:r>
                              </m:e>
                              <m:sub>
                                <m:r>
                                  <w:rPr>
                                    <w:rFonts w:ascii="Cambria Math" w:hAnsi="Cambria Math"/>
                                  </w:rPr>
                                  <m:t>2</m:t>
                                </m:r>
                              </m:sub>
                            </m:sSub>
                            <m:r>
                              <w:rPr>
                                <w:rFonts w:ascii="Cambria Math" w:hAnsi="Cambria Math"/>
                              </w:rPr>
                              <m:t>O</m:t>
                            </m:r>
                          </m:sub>
                        </m:sSub>
                      </m:e>
                    </m:d>
                  </m:e>
                  <m:sup>
                    <m:r>
                      <w:rPr>
                        <w:rFonts w:ascii="Cambria Math" w:hAnsi="Cambria Math"/>
                      </w:rPr>
                      <m:t>2n</m:t>
                    </m:r>
                  </m:sup>
                </m:sSup>
              </m:num>
              <m:den>
                <m:sSup>
                  <m:sSupPr>
                    <m:ctrlPr>
                      <w:rPr>
                        <w:rFonts w:ascii="Cambria Math" w:hAnsi="Cambria Math"/>
                        <w:i/>
                      </w:rPr>
                    </m:ctrlPr>
                  </m:sSupPr>
                  <m:e>
                    <m:d>
                      <m:dPr>
                        <m:ctrlPr>
                          <w:rPr>
                            <w:rFonts w:ascii="Cambria Math" w:hAnsi="Cambria Math"/>
                            <w:i/>
                          </w:rPr>
                        </m:ctrlPr>
                      </m:dPr>
                      <m:e>
                        <m:r>
                          <w:rPr>
                            <w:rFonts w:ascii="Cambria Math" w:hAnsi="Cambria Math"/>
                          </w:rPr>
                          <m:t>K(T)</m:t>
                        </m:r>
                      </m:e>
                    </m:d>
                  </m:e>
                  <m:sup>
                    <m:r>
                      <w:rPr>
                        <w:rFonts w:ascii="Cambria Math" w:hAnsi="Cambria Math"/>
                      </w:rPr>
                      <m:t>n</m:t>
                    </m:r>
                  </m:sup>
                </m:sSup>
              </m:den>
            </m:f>
          </m:e>
        </m:d>
      </m:oMath>
      <w:r>
        <w:rPr>
          <w:rFonts w:eastAsiaTheme="minorEastAsia"/>
        </w:rPr>
        <w:t>……………………(5)</w:t>
      </w:r>
    </w:p>
    <w:p>
      <w:pPr>
        <w:jc w:val="center"/>
      </w:pPr>
      <m:oMath>
        <m:sSub>
          <m:sSubPr>
            <m:ctrlPr>
              <w:rPr>
                <w:rFonts w:ascii="Cambria Math" w:hAnsi="Cambria Math"/>
                <w:i/>
              </w:rPr>
            </m:ctrlPr>
          </m:sSubPr>
          <m:e>
            <m:r>
              <w:rPr>
                <w:rFonts w:ascii="Cambria Math" w:hAnsi="Cambria Math"/>
              </w:rPr>
              <m:t>r</m:t>
            </m:r>
          </m:e>
          <m:sub>
            <m:r>
              <w:rPr>
                <w:rFonts w:ascii="Cambria Math" w:hAnsi="Cambria Math"/>
              </w:rPr>
              <m:t>SB</m:t>
            </m:r>
          </m:sub>
        </m:sSub>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RT</m:t>
            </m:r>
          </m:den>
        </m:f>
        <m:f>
          <m:fPr>
            <m:ctrlPr>
              <w:rPr>
                <w:rFonts w:ascii="Cambria Math" w:hAnsi="Cambria Math"/>
                <w:i/>
              </w:rPr>
            </m:ctrlPr>
          </m:fPr>
          <m:num>
            <m:r>
              <w:rPr>
                <w:rFonts w:ascii="Cambria Math" w:hAnsi="Cambria Math"/>
              </w:rPr>
              <m:t>d</m:t>
            </m:r>
            <m:sSub>
              <m:sSubPr>
                <m:ctrlPr>
                  <w:rPr>
                    <w:rFonts w:ascii="Cambria Math" w:hAnsi="Cambria Math"/>
                    <w:i/>
                  </w:rPr>
                </m:ctrlPr>
              </m:sSubPr>
              <m:e>
                <m:r>
                  <w:rPr>
                    <w:rFonts w:ascii="Cambria Math" w:hAnsi="Cambria Math"/>
                  </w:rPr>
                  <m:t>p</m:t>
                </m:r>
              </m:e>
              <m:sub>
                <m:sSub>
                  <m:sSubPr>
                    <m:ctrlPr>
                      <w:rPr>
                        <w:rFonts w:ascii="Cambria Math" w:hAnsi="Cambria Math"/>
                        <w:i/>
                      </w:rPr>
                    </m:ctrlPr>
                  </m:sSubPr>
                  <m:e>
                    <m:r>
                      <w:rPr>
                        <w:rFonts w:ascii="Cambria Math" w:hAnsi="Cambria Math"/>
                      </w:rPr>
                      <m:t>CO</m:t>
                    </m:r>
                  </m:e>
                  <m:sub>
                    <m:r>
                      <w:rPr>
                        <w:rFonts w:ascii="Cambria Math" w:hAnsi="Cambria Math"/>
                      </w:rPr>
                      <m:t>2</m:t>
                    </m:r>
                  </m:sub>
                </m:sSub>
              </m:sub>
            </m:sSub>
          </m:num>
          <m:den>
            <m:r>
              <w:rPr>
                <w:rFonts w:ascii="Cambria Math" w:hAnsi="Cambria Math"/>
              </w:rPr>
              <m:t>dt</m:t>
            </m:r>
          </m:den>
        </m:f>
      </m:oMath>
      <w:r>
        <w:rPr>
          <w:rFonts w:eastAsiaTheme="minorEastAsia"/>
        </w:rPr>
        <w:t>…………………(6)</w:t>
      </w:r>
    </w:p>
    <w:p>
      <w:pPr>
        <w:spacing w:line="480" w:lineRule="auto"/>
        <w:ind w:firstLine="720"/>
      </w:pPr>
      <w:r>
        <w:t xml:space="preserve">Lebarbier et al. </w:t>
      </w:r>
      <w:r>
        <w:fldChar w:fldCharType="begin" w:fldLock="1"/>
      </w:r>
      <w:r>
        <w:instrText>ADDIN CSL_CITATION { "citationItems" : [ { "id" : "ITEM-1", "itemData" : { "DOI" : "10.1016/j.apcata.2010.02.008", "ISBN" : "0926-860X", "ISSN" : "0926860X", "abstract" : "The effect of PdZn particle size on the catalytic activity of Pd/ZnO catalysts for the reverse-water-gas-shift (RWGS) reaction was studied. The PdZn particle size was varied by adjusting Pd loading and reducing the catalysts at different temperatures. XRD and IR spectroscopy characterization confirmed the absence of metallic Pd on the catalyst surface. Consequently, the effect of PdZn alloy particle size on the RWGS reaction can be unambiguously studied without the complication of reactions catalyzed by metallic Pd. The results indicated that the turnover frequency increases as the PdZn crystallite size decreases. Interestingly, this structure relationship between PdZn particle size and RWGS activity is consistent with that previously observed for the steam reforming of methanol, i.e., higher CO selectivity on smaller PdZn particles. Thus, RWGS has been identified as a likely potential reaction pathway to undesired CO formation in methanol steam reforming on Pd/ZnO catalysts for hydrogen production.", "author" : [ { "dropping-particle" : "", "family" : "Lebarbier", "given" : "V.", "non-dropping-particle" : "", "parse-names" : false, "suffix" : "" }, { "dropping-particle" : "", "family" : "Dagle", "given" : "R.", "non-dropping-particle" : "", "parse-names" : false, "suffix" : "" }, { "dropping-particle" : "", "family" : "Datye", "given" : "A.", "non-dropping-particle" : "", "parse-names" : false, "suffix" : "" }, { "dropping-particle" : "", "family" : "Wang", "given" : "Y.", "non-dropping-particle" : "", "parse-names" : false, "suffix" : "" } ], "container-title" : "Applied Catalysis A: General", "id" : "ITEM-1", "issue" : "1-2", "issued" : { "date-parts" : [ [ "2010" ] ] }, "page" : "3-6", "title" : "The effect of PdZn particle size on reverse-water-gas-shift reaction", "type" : "article-journal", "volume" : "379" }, "uris" : [ "http://www.mendeley.com/documents/?uuid=d56bf8d1-d44c-4548-90f8-8395cbf42ba1" ] } ], "mendeley" : { "formattedCitation" : "[52]", "plainTextFormattedCitation" : "[52]", "previouslyFormattedCitation" : "[52]" }, "properties" : { "noteIndex" : 0 }, "schema" : "https://github.com/citation-style-language/schema/raw/master/csl-citation.json" }</w:instrText>
      </w:r>
      <w:r>
        <w:fldChar w:fldCharType="separate"/>
      </w:r>
      <w:r>
        <w:rPr>
          <w:noProof/>
        </w:rPr>
        <w:t>[51]</w:t>
      </w:r>
      <w:r>
        <w:fldChar w:fldCharType="end"/>
      </w:r>
      <w:r>
        <w:t xml:space="preserve"> studied the RWGS reaction in methanol steam reforming and found that a first-order kinetic rate law (Eq. 7) with respect to CO</w:t>
      </w:r>
      <w:r>
        <w:rPr>
          <w:vertAlign w:val="subscript"/>
        </w:rPr>
        <w:t>2</w:t>
      </w:r>
      <w:r>
        <w:t xml:space="preserve"> concentration was adequate. Values were reported for E</w:t>
      </w:r>
      <w:r>
        <w:rPr>
          <w:vertAlign w:val="subscript"/>
        </w:rPr>
        <w:t>a</w:t>
      </w:r>
      <w:r>
        <w:t xml:space="preserve"> = 83.2 kJ.mol</w:t>
      </w:r>
      <w:r>
        <w:rPr>
          <w:vertAlign w:val="superscript"/>
        </w:rPr>
        <w:t>-1</w:t>
      </w:r>
      <w:r>
        <w:t xml:space="preserve"> and A = 3.40×10</w:t>
      </w:r>
      <w:r>
        <w:rPr>
          <w:vertAlign w:val="superscript"/>
        </w:rPr>
        <w:t>8</w:t>
      </w:r>
      <w:r>
        <w:t xml:space="preserve"> s</w:t>
      </w:r>
      <w:r>
        <w:rPr>
          <w:vertAlign w:val="superscript"/>
        </w:rPr>
        <w:t>-1</w:t>
      </w:r>
      <w:r>
        <w:t xml:space="preserve"> for a 10 wt.% Pd/ZnO catalyst over the 250–400°C temperature range. For this investigation, this simplistic first order rate law will be used to predict CO formation. Again, the catalyst and pressure conditions for this evaluation were different to those used in the present investigation.</w:t>
      </w:r>
    </w:p>
    <w:p>
      <w:pPr>
        <w:jc w:val="center"/>
      </w:pPr>
      <m:oMath>
        <m:sSub>
          <m:sSubPr>
            <m:ctrlPr>
              <w:rPr>
                <w:rFonts w:ascii="Cambria Math" w:hAnsi="Cambria Math"/>
                <w:i/>
                <w:lang w:val="en-US" w:eastAsia="en-ZA" w:bidi="en-US"/>
              </w:rPr>
            </m:ctrlPr>
          </m:sSubPr>
          <m:e>
            <m:r>
              <w:rPr>
                <w:rFonts w:ascii="Cambria Math" w:hAnsi="Cambria Math"/>
                <w:lang w:val="en-US" w:eastAsia="en-ZA" w:bidi="en-US"/>
              </w:rPr>
              <m:t>r</m:t>
            </m:r>
          </m:e>
          <m:sub>
            <m:r>
              <w:rPr>
                <w:rFonts w:ascii="Cambria Math" w:hAnsi="Cambria Math"/>
                <w:lang w:val="en-US" w:eastAsia="en-ZA" w:bidi="en-US"/>
              </w:rPr>
              <m:t>RWGS</m:t>
            </m:r>
          </m:sub>
        </m:sSub>
        <m:r>
          <w:rPr>
            <w:rFonts w:ascii="Cambria Math" w:hAnsi="Cambria Math"/>
            <w:lang w:val="en-US" w:eastAsia="en-ZA" w:bidi="en-US"/>
          </w:rPr>
          <m:t>= -A</m:t>
        </m:r>
        <m:r>
          <m:rPr>
            <m:sty m:val="p"/>
          </m:rPr>
          <w:rPr>
            <w:rFonts w:ascii="Cambria Math" w:hAnsi="Cambria Math"/>
            <w:lang w:val="en-US" w:eastAsia="en-ZA" w:bidi="en-US"/>
          </w:rPr>
          <m:t>exp⁡</m:t>
        </m:r>
        <m:d>
          <m:dPr>
            <m:ctrlPr>
              <w:rPr>
                <w:rFonts w:ascii="Cambria Math" w:hAnsi="Cambria Math"/>
                <w:i/>
                <w:lang w:val="en-US" w:eastAsia="en-ZA" w:bidi="en-US"/>
              </w:rPr>
            </m:ctrlPr>
          </m:dPr>
          <m:e>
            <m:f>
              <m:fPr>
                <m:ctrlPr>
                  <w:rPr>
                    <w:rFonts w:ascii="Cambria Math" w:hAnsi="Cambria Math"/>
                    <w:i/>
                    <w:lang w:val="en-US" w:eastAsia="en-ZA" w:bidi="en-US"/>
                  </w:rPr>
                </m:ctrlPr>
              </m:fPr>
              <m:num>
                <m:r>
                  <w:rPr>
                    <w:rFonts w:ascii="Cambria Math" w:hAnsi="Cambria Math"/>
                    <w:lang w:val="en-US" w:eastAsia="en-ZA" w:bidi="en-US"/>
                  </w:rPr>
                  <m:t>-</m:t>
                </m:r>
                <m:sSub>
                  <m:sSubPr>
                    <m:ctrlPr>
                      <w:rPr>
                        <w:rFonts w:ascii="Cambria Math" w:hAnsi="Cambria Math"/>
                        <w:i/>
                        <w:lang w:val="en-US" w:eastAsia="en-ZA" w:bidi="en-US"/>
                      </w:rPr>
                    </m:ctrlPr>
                  </m:sSubPr>
                  <m:e>
                    <m:r>
                      <w:rPr>
                        <w:rFonts w:ascii="Cambria Math" w:hAnsi="Cambria Math"/>
                        <w:lang w:val="en-US" w:eastAsia="en-ZA" w:bidi="en-US"/>
                      </w:rPr>
                      <m:t>E</m:t>
                    </m:r>
                  </m:e>
                  <m:sub>
                    <m:r>
                      <w:rPr>
                        <w:rFonts w:ascii="Cambria Math" w:hAnsi="Cambria Math"/>
                        <w:lang w:val="en-US" w:eastAsia="en-ZA" w:bidi="en-US"/>
                      </w:rPr>
                      <m:t>a</m:t>
                    </m:r>
                  </m:sub>
                </m:sSub>
              </m:num>
              <m:den>
                <m:r>
                  <w:rPr>
                    <w:rFonts w:ascii="Cambria Math" w:hAnsi="Cambria Math"/>
                    <w:lang w:val="en-US" w:eastAsia="en-ZA" w:bidi="en-US"/>
                  </w:rPr>
                  <m:t>RT</m:t>
                </m:r>
              </m:den>
            </m:f>
          </m:e>
        </m:d>
        <m:r>
          <w:rPr>
            <w:rFonts w:ascii="Cambria Math" w:hAnsi="Cambria Math"/>
            <w:lang w:val="en-US" w:eastAsia="en-ZA" w:bidi="en-US"/>
          </w:rPr>
          <m:t>×</m:t>
        </m:r>
        <m:sSub>
          <m:sSubPr>
            <m:ctrlPr>
              <w:rPr>
                <w:rFonts w:ascii="Cambria Math" w:hAnsi="Cambria Math"/>
                <w:i/>
                <w:lang w:val="en-US" w:eastAsia="en-ZA" w:bidi="en-US"/>
              </w:rPr>
            </m:ctrlPr>
          </m:sSubPr>
          <m:e>
            <m:r>
              <w:rPr>
                <w:rFonts w:ascii="Cambria Math" w:hAnsi="Cambria Math"/>
                <w:lang w:val="en-US" w:eastAsia="en-ZA" w:bidi="en-US"/>
              </w:rPr>
              <m:t>C</m:t>
            </m:r>
          </m:e>
          <m:sub>
            <m:sSub>
              <m:sSubPr>
                <m:ctrlPr>
                  <w:rPr>
                    <w:rFonts w:ascii="Cambria Math" w:hAnsi="Cambria Math"/>
                    <w:i/>
                    <w:lang w:val="en-US" w:eastAsia="en-ZA" w:bidi="en-US"/>
                  </w:rPr>
                </m:ctrlPr>
              </m:sSubPr>
              <m:e>
                <m:r>
                  <w:rPr>
                    <w:rFonts w:ascii="Cambria Math" w:hAnsi="Cambria Math"/>
                    <w:lang w:val="en-US" w:eastAsia="en-ZA" w:bidi="en-US"/>
                  </w:rPr>
                  <m:t>CO</m:t>
                </m:r>
              </m:e>
              <m:sub>
                <m:r>
                  <w:rPr>
                    <w:rFonts w:ascii="Cambria Math" w:hAnsi="Cambria Math"/>
                    <w:lang w:val="en-US" w:eastAsia="en-ZA" w:bidi="en-US"/>
                  </w:rPr>
                  <m:t>2</m:t>
                </m:r>
              </m:sub>
            </m:sSub>
          </m:sub>
        </m:sSub>
      </m:oMath>
      <w:r>
        <w:rPr>
          <w:lang w:val="en-US" w:eastAsia="en-ZA" w:bidi="en-US"/>
        </w:rPr>
        <w:t>…………………….(7)</w:t>
      </w:r>
    </w:p>
    <w:p>
      <w:pPr>
        <w:spacing w:line="480" w:lineRule="auto"/>
        <w:ind w:firstLine="720"/>
      </w:pPr>
      <w:r>
        <w:t>For this investigation, the kinetic parameters therefore needed to be adjusted owing to different catalyst properties as well as the different operative conditions used herein. Consequently, parameter estimation by regression was required and was carried out using the Nelder-Mead optimization algorithm in COMSOL Multiphysics</w:t>
      </w:r>
      <w:r>
        <w:rPr>
          <w:vertAlign w:val="superscript"/>
        </w:rPr>
        <w:t>®</w:t>
      </w:r>
      <w:r>
        <w:t xml:space="preserve"> (finite-element based multiphysics simulation environment), where the objective function was defined as the sum of least squares between the experimentally-determined and model-predicted CO</w:t>
      </w:r>
      <w:r>
        <w:rPr>
          <w:vertAlign w:val="subscript"/>
        </w:rPr>
        <w:t>2</w:t>
      </w:r>
      <w:r>
        <w:t xml:space="preserve"> conversion. </w:t>
      </w:r>
    </w:p>
    <w:p>
      <w:pPr>
        <w:pStyle w:val="Heading1"/>
        <w:rPr>
          <w:rFonts w:cs="Arial"/>
          <w:lang w:val="en-US" w:eastAsia="en-ZA" w:bidi="en-US"/>
        </w:rPr>
      </w:pPr>
      <w:r>
        <w:rPr>
          <w:rFonts w:cs="Arial"/>
          <w:lang w:val="en-US" w:eastAsia="en-ZA" w:bidi="en-US"/>
        </w:rPr>
        <w:t>3. Results and discussion</w:t>
      </w:r>
    </w:p>
    <w:p>
      <w:pPr>
        <w:spacing w:line="480" w:lineRule="auto"/>
        <w:rPr>
          <w:lang w:val="en-US" w:eastAsia="en-ZA" w:bidi="en-US"/>
        </w:rPr>
      </w:pPr>
      <w:r>
        <w:rPr>
          <w:lang w:val="en-US" w:eastAsia="en-ZA" w:bidi="en-US"/>
        </w:rPr>
        <w:t xml:space="preserve">This section presents the experimental and CFD modelling results together with the appropriate discussion of the presented results. </w:t>
      </w:r>
      <w:r>
        <w:t>The reactor performance was assessed using the parameters CO</w:t>
      </w:r>
      <w:r>
        <w:rPr>
          <w:vertAlign w:val="subscript"/>
        </w:rPr>
        <w:t>2</w:t>
      </w:r>
      <w:r>
        <w:t xml:space="preserve"> conversion and CH</w:t>
      </w:r>
      <w:r>
        <w:rPr>
          <w:vertAlign w:val="subscript"/>
        </w:rPr>
        <w:t>4</w:t>
      </w:r>
      <w:r>
        <w:t xml:space="preserve"> yield. These parameters were calculated from experimental data </w:t>
      </w:r>
      <w:r>
        <w:rPr>
          <w:lang w:val="en-US" w:eastAsia="en-ZA" w:bidi="en-US"/>
        </w:rPr>
        <w:t xml:space="preserve">on a dry basis (d.b) </w:t>
      </w:r>
      <w:r>
        <w:t>and are defined by Eq. (8</w:t>
      </w:r>
      <w:r>
        <w:rPr>
          <w:rFonts w:cs="Arial"/>
        </w:rPr>
        <w:t xml:space="preserve"> and </w:t>
      </w:r>
      <w:r>
        <w:t>9).</w:t>
      </w:r>
      <w:r>
        <w:rPr>
          <w:lang w:val="en-US" w:eastAsia="en-ZA" w:bidi="en-US"/>
        </w:rPr>
        <w:t xml:space="preserve"> </w:t>
      </w:r>
    </w:p>
    <w:p>
      <w:pPr>
        <w:jc w:val="center"/>
        <w:rPr>
          <w:lang w:val="en-US" w:eastAsia="en-ZA" w:bidi="en-US"/>
        </w:rPr>
      </w:pPr>
      <m:oMath>
        <m:sSub>
          <m:sSubPr>
            <m:ctrlPr>
              <w:rPr>
                <w:rFonts w:ascii="Cambria Math" w:hAnsi="Cambria Math"/>
                <w:i/>
              </w:rPr>
            </m:ctrlPr>
          </m:sSubPr>
          <m:e>
            <m:r>
              <w:rPr>
                <w:rFonts w:ascii="Cambria Math" w:hAnsi="Cambria Math"/>
              </w:rPr>
              <m:t>X</m:t>
            </m:r>
          </m:e>
          <m:sub>
            <m:sSub>
              <m:sSubPr>
                <m:ctrlPr>
                  <w:rPr>
                    <w:rFonts w:ascii="Cambria Math" w:hAnsi="Cambria Math"/>
                    <w:i/>
                  </w:rPr>
                </m:ctrlPr>
              </m:sSubPr>
              <m:e>
                <m:r>
                  <w:rPr>
                    <w:rFonts w:ascii="Cambria Math" w:hAnsi="Cambria Math"/>
                  </w:rPr>
                  <m:t>CO</m:t>
                </m:r>
              </m:e>
              <m:sub>
                <m:r>
                  <w:rPr>
                    <w:rFonts w:ascii="Cambria Math" w:hAnsi="Cambria Math"/>
                  </w:rPr>
                  <m:t>2</m:t>
                </m:r>
              </m:sub>
            </m:sSub>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n</m:t>
                    </m:r>
                  </m:e>
                </m:acc>
              </m:e>
              <m:sub>
                <m:sSub>
                  <m:sSubPr>
                    <m:ctrlPr>
                      <w:rPr>
                        <w:rFonts w:ascii="Cambria Math" w:hAnsi="Cambria Math"/>
                        <w:i/>
                      </w:rPr>
                    </m:ctrlPr>
                  </m:sSubPr>
                  <m:e>
                    <m:r>
                      <w:rPr>
                        <w:rFonts w:ascii="Cambria Math" w:hAnsi="Cambria Math"/>
                      </w:rPr>
                      <m:t>T</m:t>
                    </m:r>
                  </m:e>
                  <m:sub>
                    <m:r>
                      <w:rPr>
                        <w:rFonts w:ascii="Cambria Math" w:hAnsi="Cambria Math"/>
                      </w:rPr>
                      <m:t>in</m:t>
                    </m:r>
                  </m:sub>
                </m:sSub>
                <m:r>
                  <w:rPr>
                    <w:rFonts w:ascii="Cambria Math" w:hAnsi="Cambria Math"/>
                  </w:rPr>
                  <m:t xml:space="preserve"> </m:t>
                </m:r>
              </m:sub>
            </m:sSub>
            <m:sSub>
              <m:sSubPr>
                <m:ctrlPr>
                  <w:rPr>
                    <w:rFonts w:ascii="Cambria Math" w:hAnsi="Cambria Math"/>
                    <w:i/>
                  </w:rPr>
                </m:ctrlPr>
              </m:sSubPr>
              <m:e>
                <m:r>
                  <w:rPr>
                    <w:rFonts w:ascii="Cambria Math" w:hAnsi="Cambria Math"/>
                  </w:rPr>
                  <m:t>y</m:t>
                </m:r>
              </m:e>
              <m:sub>
                <m:sSub>
                  <m:sSubPr>
                    <m:ctrlPr>
                      <w:rPr>
                        <w:rFonts w:ascii="Cambria Math" w:hAnsi="Cambria Math"/>
                        <w:i/>
                      </w:rPr>
                    </m:ctrlPr>
                  </m:sSubPr>
                  <m:e>
                    <m:r>
                      <w:rPr>
                        <w:rFonts w:ascii="Cambria Math" w:hAnsi="Cambria Math"/>
                      </w:rPr>
                      <m:t>CO</m:t>
                    </m:r>
                  </m:e>
                  <m:sub>
                    <m:r>
                      <w:rPr>
                        <w:rFonts w:ascii="Cambria Math" w:hAnsi="Cambria Math"/>
                      </w:rPr>
                      <m:t>2</m:t>
                    </m:r>
                  </m:sub>
                </m:sSub>
                <m:r>
                  <w:rPr>
                    <w:rFonts w:ascii="Cambria Math" w:hAnsi="Cambria Math"/>
                  </w:rPr>
                  <m:t xml:space="preserve"> </m:t>
                </m:r>
              </m:sub>
            </m:sSub>
            <m:r>
              <w:rPr>
                <w:rFonts w:ascii="Cambria Math" w:hAnsi="Cambria Math"/>
              </w:rPr>
              <m:t xml:space="preserve">- </m:t>
            </m:r>
            <m:sSub>
              <m:sSubPr>
                <m:ctrlPr>
                  <w:rPr>
                    <w:rFonts w:ascii="Cambria Math" w:hAnsi="Cambria Math"/>
                    <w:i/>
                  </w:rPr>
                </m:ctrlPr>
              </m:sSubPr>
              <m:e>
                <m:acc>
                  <m:accPr>
                    <m:chr m:val="̇"/>
                    <m:ctrlPr>
                      <w:rPr>
                        <w:rFonts w:ascii="Cambria Math" w:hAnsi="Cambria Math"/>
                        <w:i/>
                      </w:rPr>
                    </m:ctrlPr>
                  </m:accPr>
                  <m:e>
                    <m:r>
                      <w:rPr>
                        <w:rFonts w:ascii="Cambria Math" w:hAnsi="Cambria Math"/>
                      </w:rPr>
                      <m:t>n</m:t>
                    </m:r>
                  </m:e>
                </m:acc>
              </m:e>
              <m:sub>
                <m:sSub>
                  <m:sSubPr>
                    <m:ctrlPr>
                      <w:rPr>
                        <w:rFonts w:ascii="Cambria Math" w:hAnsi="Cambria Math"/>
                        <w:i/>
                      </w:rPr>
                    </m:ctrlPr>
                  </m:sSubPr>
                  <m:e>
                    <m:r>
                      <w:rPr>
                        <w:rFonts w:ascii="Cambria Math" w:hAnsi="Cambria Math"/>
                      </w:rPr>
                      <m:t>T</m:t>
                    </m:r>
                  </m:e>
                  <m:sub>
                    <m:r>
                      <w:rPr>
                        <w:rFonts w:ascii="Cambria Math" w:hAnsi="Cambria Math"/>
                      </w:rPr>
                      <m:t>out</m:t>
                    </m:r>
                  </m:sub>
                </m:sSub>
                <m:r>
                  <w:rPr>
                    <w:rFonts w:ascii="Cambria Math" w:hAnsi="Cambria Math"/>
                  </w:rPr>
                  <m:t xml:space="preserve"> </m:t>
                </m:r>
              </m:sub>
            </m:sSub>
            <m:sSub>
              <m:sSubPr>
                <m:ctrlPr>
                  <w:rPr>
                    <w:rFonts w:ascii="Cambria Math" w:hAnsi="Cambria Math"/>
                    <w:i/>
                  </w:rPr>
                </m:ctrlPr>
              </m:sSubPr>
              <m:e>
                <m:r>
                  <w:rPr>
                    <w:rFonts w:ascii="Cambria Math" w:hAnsi="Cambria Math"/>
                  </w:rPr>
                  <m:t>y</m:t>
                </m:r>
              </m:e>
              <m:sub>
                <m:sSub>
                  <m:sSubPr>
                    <m:ctrlPr>
                      <w:rPr>
                        <w:rFonts w:ascii="Cambria Math" w:hAnsi="Cambria Math"/>
                        <w:i/>
                      </w:rPr>
                    </m:ctrlPr>
                  </m:sSubPr>
                  <m:e>
                    <m:r>
                      <w:rPr>
                        <w:rFonts w:ascii="Cambria Math" w:hAnsi="Cambria Math"/>
                      </w:rPr>
                      <m:t>CO</m:t>
                    </m:r>
                  </m:e>
                  <m:sub>
                    <m:r>
                      <w:rPr>
                        <w:rFonts w:ascii="Cambria Math" w:hAnsi="Cambria Math"/>
                      </w:rPr>
                      <m:t>2</m:t>
                    </m:r>
                  </m:sub>
                </m:sSub>
                <m:r>
                  <w:rPr>
                    <w:rFonts w:ascii="Cambria Math" w:hAnsi="Cambria Math"/>
                  </w:rPr>
                  <m:t xml:space="preserve"> </m:t>
                </m:r>
              </m:sub>
            </m:sSub>
          </m:num>
          <m:den>
            <m:sSub>
              <m:sSubPr>
                <m:ctrlPr>
                  <w:rPr>
                    <w:rFonts w:ascii="Cambria Math" w:hAnsi="Cambria Math"/>
                    <w:i/>
                  </w:rPr>
                </m:ctrlPr>
              </m:sSubPr>
              <m:e>
                <m:acc>
                  <m:accPr>
                    <m:chr m:val="̇"/>
                    <m:ctrlPr>
                      <w:rPr>
                        <w:rFonts w:ascii="Cambria Math" w:hAnsi="Cambria Math"/>
                        <w:i/>
                      </w:rPr>
                    </m:ctrlPr>
                  </m:accPr>
                  <m:e>
                    <m:r>
                      <w:rPr>
                        <w:rFonts w:ascii="Cambria Math" w:hAnsi="Cambria Math"/>
                      </w:rPr>
                      <m:t>n</m:t>
                    </m:r>
                  </m:e>
                </m:acc>
              </m:e>
              <m:sub>
                <m:sSub>
                  <m:sSubPr>
                    <m:ctrlPr>
                      <w:rPr>
                        <w:rFonts w:ascii="Cambria Math" w:hAnsi="Cambria Math"/>
                        <w:i/>
                      </w:rPr>
                    </m:ctrlPr>
                  </m:sSubPr>
                  <m:e>
                    <m:r>
                      <w:rPr>
                        <w:rFonts w:ascii="Cambria Math" w:hAnsi="Cambria Math"/>
                      </w:rPr>
                      <m:t>T</m:t>
                    </m:r>
                  </m:e>
                  <m:sub>
                    <m:r>
                      <w:rPr>
                        <w:rFonts w:ascii="Cambria Math" w:hAnsi="Cambria Math"/>
                      </w:rPr>
                      <m:t>in</m:t>
                    </m:r>
                  </m:sub>
                </m:sSub>
                <m:r>
                  <w:rPr>
                    <w:rFonts w:ascii="Cambria Math" w:hAnsi="Cambria Math"/>
                  </w:rPr>
                  <m:t xml:space="preserve"> </m:t>
                </m:r>
              </m:sub>
            </m:sSub>
            <m:sSub>
              <m:sSubPr>
                <m:ctrlPr>
                  <w:rPr>
                    <w:rFonts w:ascii="Cambria Math" w:hAnsi="Cambria Math"/>
                    <w:i/>
                  </w:rPr>
                </m:ctrlPr>
              </m:sSubPr>
              <m:e>
                <m:r>
                  <w:rPr>
                    <w:rFonts w:ascii="Cambria Math" w:hAnsi="Cambria Math"/>
                  </w:rPr>
                  <m:t>y</m:t>
                </m:r>
              </m:e>
              <m:sub>
                <m:sSub>
                  <m:sSubPr>
                    <m:ctrlPr>
                      <w:rPr>
                        <w:rFonts w:ascii="Cambria Math" w:hAnsi="Cambria Math"/>
                        <w:i/>
                      </w:rPr>
                    </m:ctrlPr>
                  </m:sSubPr>
                  <m:e>
                    <m:r>
                      <w:rPr>
                        <w:rFonts w:ascii="Cambria Math" w:hAnsi="Cambria Math"/>
                      </w:rPr>
                      <m:t>CO</m:t>
                    </m:r>
                  </m:e>
                  <m:sub>
                    <m:r>
                      <w:rPr>
                        <w:rFonts w:ascii="Cambria Math" w:hAnsi="Cambria Math"/>
                      </w:rPr>
                      <m:t>2</m:t>
                    </m:r>
                  </m:sub>
                </m:sSub>
                <m:r>
                  <w:rPr>
                    <w:rFonts w:ascii="Cambria Math" w:hAnsi="Cambria Math"/>
                  </w:rPr>
                  <m:t xml:space="preserve"> </m:t>
                </m:r>
              </m:sub>
            </m:sSub>
          </m:den>
        </m:f>
        <m:r>
          <w:rPr>
            <w:rFonts w:ascii="Cambria Math" w:eastAsiaTheme="minorEastAsia" w:hAnsi="Cambria Math"/>
          </w:rPr>
          <m:t xml:space="preserve"> ×100%</m:t>
        </m:r>
      </m:oMath>
      <w:r>
        <w:rPr>
          <w:rFonts w:eastAsiaTheme="minorEastAsia"/>
        </w:rPr>
        <w:t xml:space="preserve"> ..............................(8)</w:t>
      </w:r>
    </w:p>
    <w:p>
      <w:pPr>
        <w:jc w:val="center"/>
        <w:rPr>
          <w:lang w:val="en-US" w:eastAsia="en-ZA" w:bidi="en-US"/>
        </w:rPr>
      </w:pPr>
      <m:oMath>
        <m:sSub>
          <m:sSubPr>
            <m:ctrlPr>
              <w:rPr>
                <w:rFonts w:ascii="Cambria Math" w:hAnsi="Cambria Math"/>
                <w:i/>
              </w:rPr>
            </m:ctrlPr>
          </m:sSubPr>
          <m:e>
            <m:r>
              <w:rPr>
                <w:rFonts w:ascii="Cambria Math" w:hAnsi="Cambria Math"/>
              </w:rPr>
              <m:t>Y</m:t>
            </m:r>
          </m:e>
          <m:sub>
            <m:sSub>
              <m:sSubPr>
                <m:ctrlPr>
                  <w:rPr>
                    <w:rFonts w:ascii="Cambria Math" w:hAnsi="Cambria Math"/>
                    <w:i/>
                  </w:rPr>
                </m:ctrlPr>
              </m:sSubPr>
              <m:e>
                <m:r>
                  <w:rPr>
                    <w:rFonts w:ascii="Cambria Math" w:hAnsi="Cambria Math"/>
                  </w:rPr>
                  <m:t>CH</m:t>
                </m:r>
              </m:e>
              <m:sub>
                <m:r>
                  <w:rPr>
                    <w:rFonts w:ascii="Cambria Math" w:hAnsi="Cambria Math"/>
                  </w:rPr>
                  <m:t>4</m:t>
                </m:r>
              </m:sub>
            </m:sSub>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acc>
                  <m:accPr>
                    <m:chr m:val="̇"/>
                    <m:ctrlPr>
                      <w:rPr>
                        <w:rFonts w:ascii="Cambria Math" w:hAnsi="Cambria Math"/>
                        <w:i/>
                      </w:rPr>
                    </m:ctrlPr>
                  </m:accPr>
                  <m:e>
                    <m:r>
                      <w:rPr>
                        <w:rFonts w:ascii="Cambria Math" w:hAnsi="Cambria Math"/>
                      </w:rPr>
                      <m:t>n</m:t>
                    </m:r>
                  </m:e>
                </m:acc>
              </m:e>
              <m:sub>
                <m:sSub>
                  <m:sSubPr>
                    <m:ctrlPr>
                      <w:rPr>
                        <w:rFonts w:ascii="Cambria Math" w:hAnsi="Cambria Math"/>
                        <w:i/>
                      </w:rPr>
                    </m:ctrlPr>
                  </m:sSubPr>
                  <m:e>
                    <m:r>
                      <w:rPr>
                        <w:rFonts w:ascii="Cambria Math" w:hAnsi="Cambria Math"/>
                      </w:rPr>
                      <m:t>T</m:t>
                    </m:r>
                  </m:e>
                  <m:sub>
                    <m:r>
                      <w:rPr>
                        <w:rFonts w:ascii="Cambria Math" w:hAnsi="Cambria Math"/>
                      </w:rPr>
                      <m:t>out</m:t>
                    </m:r>
                  </m:sub>
                </m:sSub>
                <m:r>
                  <w:rPr>
                    <w:rFonts w:ascii="Cambria Math" w:hAnsi="Cambria Math"/>
                  </w:rPr>
                  <m:t xml:space="preserve"> </m:t>
                </m:r>
              </m:sub>
            </m:sSub>
            <m:sSub>
              <m:sSubPr>
                <m:ctrlPr>
                  <w:rPr>
                    <w:rFonts w:ascii="Cambria Math" w:hAnsi="Cambria Math"/>
                    <w:i/>
                  </w:rPr>
                </m:ctrlPr>
              </m:sSubPr>
              <m:e>
                <m:r>
                  <w:rPr>
                    <w:rFonts w:ascii="Cambria Math" w:hAnsi="Cambria Math"/>
                  </w:rPr>
                  <m:t>y</m:t>
                </m:r>
              </m:e>
              <m:sub>
                <m:sSub>
                  <m:sSubPr>
                    <m:ctrlPr>
                      <w:rPr>
                        <w:rFonts w:ascii="Cambria Math" w:hAnsi="Cambria Math"/>
                        <w:i/>
                      </w:rPr>
                    </m:ctrlPr>
                  </m:sSubPr>
                  <m:e>
                    <m:r>
                      <w:rPr>
                        <w:rFonts w:ascii="Cambria Math" w:hAnsi="Cambria Math"/>
                      </w:rPr>
                      <m:t>CH</m:t>
                    </m:r>
                  </m:e>
                  <m:sub>
                    <m:r>
                      <w:rPr>
                        <w:rFonts w:ascii="Cambria Math" w:hAnsi="Cambria Math"/>
                      </w:rPr>
                      <m:t>4</m:t>
                    </m:r>
                  </m:sub>
                </m:sSub>
                <m:r>
                  <w:rPr>
                    <w:rFonts w:ascii="Cambria Math" w:hAnsi="Cambria Math"/>
                  </w:rPr>
                  <m:t xml:space="preserve"> </m:t>
                </m:r>
              </m:sub>
            </m:sSub>
          </m:num>
          <m:den>
            <m:sSub>
              <m:sSubPr>
                <m:ctrlPr>
                  <w:rPr>
                    <w:rFonts w:ascii="Cambria Math" w:hAnsi="Cambria Math"/>
                    <w:i/>
                  </w:rPr>
                </m:ctrlPr>
              </m:sSubPr>
              <m:e>
                <m:acc>
                  <m:accPr>
                    <m:chr m:val="̇"/>
                    <m:ctrlPr>
                      <w:rPr>
                        <w:rFonts w:ascii="Cambria Math" w:hAnsi="Cambria Math"/>
                        <w:i/>
                      </w:rPr>
                    </m:ctrlPr>
                  </m:accPr>
                  <m:e>
                    <m:r>
                      <w:rPr>
                        <w:rFonts w:ascii="Cambria Math" w:hAnsi="Cambria Math"/>
                      </w:rPr>
                      <m:t>n</m:t>
                    </m:r>
                  </m:e>
                </m:acc>
              </m:e>
              <m:sub>
                <m:sSub>
                  <m:sSubPr>
                    <m:ctrlPr>
                      <w:rPr>
                        <w:rFonts w:ascii="Cambria Math" w:hAnsi="Cambria Math"/>
                        <w:i/>
                      </w:rPr>
                    </m:ctrlPr>
                  </m:sSubPr>
                  <m:e>
                    <m:r>
                      <w:rPr>
                        <w:rFonts w:ascii="Cambria Math" w:hAnsi="Cambria Math"/>
                      </w:rPr>
                      <m:t>T</m:t>
                    </m:r>
                  </m:e>
                  <m:sub>
                    <m:r>
                      <w:rPr>
                        <w:rFonts w:ascii="Cambria Math" w:hAnsi="Cambria Math"/>
                      </w:rPr>
                      <m:t>out</m:t>
                    </m:r>
                  </m:sub>
                </m:sSub>
                <m:r>
                  <w:rPr>
                    <w:rFonts w:ascii="Cambria Math" w:hAnsi="Cambria Math"/>
                  </w:rPr>
                  <m:t xml:space="preserve"> </m:t>
                </m:r>
              </m:sub>
            </m:sSub>
            <m:sSub>
              <m:sSubPr>
                <m:ctrlPr>
                  <w:rPr>
                    <w:rFonts w:ascii="Cambria Math" w:hAnsi="Cambria Math"/>
                    <w:i/>
                  </w:rPr>
                </m:ctrlPr>
              </m:sSubPr>
              <m:e>
                <m:r>
                  <w:rPr>
                    <w:rFonts w:ascii="Cambria Math" w:hAnsi="Cambria Math"/>
                  </w:rPr>
                  <m:t>y</m:t>
                </m:r>
              </m:e>
              <m:sub>
                <m:sSub>
                  <m:sSubPr>
                    <m:ctrlPr>
                      <w:rPr>
                        <w:rFonts w:ascii="Cambria Math" w:hAnsi="Cambria Math"/>
                        <w:i/>
                      </w:rPr>
                    </m:ctrlPr>
                  </m:sSubPr>
                  <m:e>
                    <m:r>
                      <w:rPr>
                        <w:rFonts w:ascii="Cambria Math" w:hAnsi="Cambria Math"/>
                      </w:rPr>
                      <m:t>CO</m:t>
                    </m:r>
                  </m:e>
                  <m:sub>
                    <m:r>
                      <w:rPr>
                        <w:rFonts w:ascii="Cambria Math" w:hAnsi="Cambria Math"/>
                      </w:rPr>
                      <m:t>2</m:t>
                    </m:r>
                  </m:sub>
                </m:sSub>
                <m:r>
                  <w:rPr>
                    <w:rFonts w:ascii="Cambria Math" w:hAnsi="Cambria Math"/>
                  </w:rPr>
                  <m:t xml:space="preserve"> </m:t>
                </m:r>
              </m:sub>
            </m:sSub>
            <m:r>
              <w:rPr>
                <w:rFonts w:ascii="Cambria Math" w:hAnsi="Cambria Math"/>
              </w:rPr>
              <m:t xml:space="preserve">+ </m:t>
            </m:r>
            <m:sSub>
              <m:sSubPr>
                <m:ctrlPr>
                  <w:rPr>
                    <w:rFonts w:ascii="Cambria Math" w:hAnsi="Cambria Math"/>
                    <w:i/>
                  </w:rPr>
                </m:ctrlPr>
              </m:sSubPr>
              <m:e>
                <m:acc>
                  <m:accPr>
                    <m:chr m:val="̇"/>
                    <m:ctrlPr>
                      <w:rPr>
                        <w:rFonts w:ascii="Cambria Math" w:hAnsi="Cambria Math"/>
                        <w:i/>
                      </w:rPr>
                    </m:ctrlPr>
                  </m:accPr>
                  <m:e>
                    <m:r>
                      <w:rPr>
                        <w:rFonts w:ascii="Cambria Math" w:hAnsi="Cambria Math"/>
                      </w:rPr>
                      <m:t>n</m:t>
                    </m:r>
                  </m:e>
                </m:acc>
              </m:e>
              <m:sub>
                <m:sSub>
                  <m:sSubPr>
                    <m:ctrlPr>
                      <w:rPr>
                        <w:rFonts w:ascii="Cambria Math" w:hAnsi="Cambria Math"/>
                        <w:i/>
                      </w:rPr>
                    </m:ctrlPr>
                  </m:sSubPr>
                  <m:e>
                    <m:r>
                      <w:rPr>
                        <w:rFonts w:ascii="Cambria Math" w:hAnsi="Cambria Math"/>
                      </w:rPr>
                      <m:t>T</m:t>
                    </m:r>
                  </m:e>
                  <m:sub>
                    <m:r>
                      <w:rPr>
                        <w:rFonts w:ascii="Cambria Math" w:hAnsi="Cambria Math"/>
                      </w:rPr>
                      <m:t>out</m:t>
                    </m:r>
                  </m:sub>
                </m:sSub>
                <m:r>
                  <w:rPr>
                    <w:rFonts w:ascii="Cambria Math" w:hAnsi="Cambria Math"/>
                  </w:rPr>
                  <m:t xml:space="preserve"> </m:t>
                </m:r>
              </m:sub>
            </m:sSub>
            <m:sSub>
              <m:sSubPr>
                <m:ctrlPr>
                  <w:rPr>
                    <w:rFonts w:ascii="Cambria Math" w:hAnsi="Cambria Math"/>
                    <w:i/>
                  </w:rPr>
                </m:ctrlPr>
              </m:sSubPr>
              <m:e>
                <m:r>
                  <w:rPr>
                    <w:rFonts w:ascii="Cambria Math" w:hAnsi="Cambria Math"/>
                  </w:rPr>
                  <m:t>y</m:t>
                </m:r>
              </m:e>
              <m:sub>
                <m:sSub>
                  <m:sSubPr>
                    <m:ctrlPr>
                      <w:rPr>
                        <w:rFonts w:ascii="Cambria Math" w:hAnsi="Cambria Math"/>
                        <w:i/>
                      </w:rPr>
                    </m:ctrlPr>
                  </m:sSubPr>
                  <m:e>
                    <m:r>
                      <w:rPr>
                        <w:rFonts w:ascii="Cambria Math" w:hAnsi="Cambria Math"/>
                      </w:rPr>
                      <m:t>CH</m:t>
                    </m:r>
                  </m:e>
                  <m:sub>
                    <m:r>
                      <w:rPr>
                        <w:rFonts w:ascii="Cambria Math" w:hAnsi="Cambria Math"/>
                      </w:rPr>
                      <m:t>4</m:t>
                    </m:r>
                  </m:sub>
                </m:sSub>
                <m:r>
                  <w:rPr>
                    <w:rFonts w:ascii="Cambria Math" w:hAnsi="Cambria Math"/>
                  </w:rPr>
                  <m:t xml:space="preserve"> </m:t>
                </m:r>
              </m:sub>
            </m:sSub>
            <m:r>
              <w:rPr>
                <w:rFonts w:ascii="Cambria Math" w:hAnsi="Cambria Math"/>
              </w:rPr>
              <m:t xml:space="preserve">+ </m:t>
            </m:r>
            <m:sSub>
              <m:sSubPr>
                <m:ctrlPr>
                  <w:rPr>
                    <w:rFonts w:ascii="Cambria Math" w:hAnsi="Cambria Math"/>
                    <w:i/>
                  </w:rPr>
                </m:ctrlPr>
              </m:sSubPr>
              <m:e>
                <m:acc>
                  <m:accPr>
                    <m:chr m:val="̇"/>
                    <m:ctrlPr>
                      <w:rPr>
                        <w:rFonts w:ascii="Cambria Math" w:hAnsi="Cambria Math"/>
                        <w:i/>
                      </w:rPr>
                    </m:ctrlPr>
                  </m:accPr>
                  <m:e>
                    <m:r>
                      <w:rPr>
                        <w:rFonts w:ascii="Cambria Math" w:hAnsi="Cambria Math"/>
                      </w:rPr>
                      <m:t>n</m:t>
                    </m:r>
                  </m:e>
                </m:acc>
              </m:e>
              <m:sub>
                <m:sSub>
                  <m:sSubPr>
                    <m:ctrlPr>
                      <w:rPr>
                        <w:rFonts w:ascii="Cambria Math" w:hAnsi="Cambria Math"/>
                        <w:i/>
                      </w:rPr>
                    </m:ctrlPr>
                  </m:sSubPr>
                  <m:e>
                    <m:r>
                      <w:rPr>
                        <w:rFonts w:ascii="Cambria Math" w:hAnsi="Cambria Math"/>
                      </w:rPr>
                      <m:t>T</m:t>
                    </m:r>
                  </m:e>
                  <m:sub>
                    <m:r>
                      <w:rPr>
                        <w:rFonts w:ascii="Cambria Math" w:hAnsi="Cambria Math"/>
                      </w:rPr>
                      <m:t>out</m:t>
                    </m:r>
                  </m:sub>
                </m:sSub>
                <m:r>
                  <w:rPr>
                    <w:rFonts w:ascii="Cambria Math" w:hAnsi="Cambria Math"/>
                  </w:rPr>
                  <m:t xml:space="preserve"> </m:t>
                </m:r>
              </m:sub>
            </m:sSub>
            <m:sSub>
              <m:sSubPr>
                <m:ctrlPr>
                  <w:rPr>
                    <w:rFonts w:ascii="Cambria Math" w:hAnsi="Cambria Math"/>
                    <w:i/>
                  </w:rPr>
                </m:ctrlPr>
              </m:sSubPr>
              <m:e>
                <m:r>
                  <w:rPr>
                    <w:rFonts w:ascii="Cambria Math" w:hAnsi="Cambria Math"/>
                  </w:rPr>
                  <m:t>y</m:t>
                </m:r>
              </m:e>
              <m:sub>
                <m:r>
                  <w:rPr>
                    <w:rFonts w:ascii="Cambria Math" w:hAnsi="Cambria Math"/>
                  </w:rPr>
                  <m:t xml:space="preserve">CO </m:t>
                </m:r>
              </m:sub>
            </m:sSub>
          </m:den>
        </m:f>
        <m:r>
          <w:rPr>
            <w:rFonts w:ascii="Cambria Math" w:eastAsiaTheme="minorEastAsia" w:hAnsi="Cambria Math"/>
          </w:rPr>
          <m:t xml:space="preserve"> ×100%</m:t>
        </m:r>
      </m:oMath>
      <w:r>
        <w:rPr>
          <w:rFonts w:eastAsiaTheme="minorEastAsia"/>
        </w:rPr>
        <w:t xml:space="preserve"> ……………………..(9)</w:t>
      </w:r>
    </w:p>
    <w:p>
      <w:pPr>
        <w:pStyle w:val="Heading2"/>
        <w:rPr>
          <w:lang w:val="en-US" w:eastAsia="en-ZA" w:bidi="en-US"/>
        </w:rPr>
      </w:pPr>
      <w:r>
        <w:rPr>
          <w:lang w:val="en-US" w:eastAsia="en-ZA" w:bidi="en-US"/>
        </w:rPr>
        <w:t>3.1 Assessment of kinetic rate equations</w:t>
      </w:r>
    </w:p>
    <w:p>
      <w:pPr>
        <w:spacing w:line="480" w:lineRule="auto"/>
      </w:pPr>
      <w:r>
        <w:rPr>
          <w:lang w:val="en-US" w:eastAsia="en-ZA" w:bidi="en-US"/>
        </w:rPr>
        <w:t>The kinetic parameters (rate constant, activation energy, and reaction order) for the Sabatier reaction and (rate constant, activation energy) for the RWGS reaction was obtained (Table 2) for each pressure condition. The experimental results reported in Figures 5 and 6 at all the operating conditions adopted were used. Each set of kinetic parameters was obtained when the model converged to an objective function value of 10</w:t>
      </w:r>
      <w:r>
        <w:rPr>
          <w:vertAlign w:val="superscript"/>
          <w:lang w:val="en-US" w:eastAsia="en-ZA" w:bidi="en-US"/>
        </w:rPr>
        <w:t>-4</w:t>
      </w:r>
      <w:r>
        <w:rPr>
          <w:lang w:val="en-US" w:eastAsia="en-ZA" w:bidi="en-US"/>
        </w:rPr>
        <w:t xml:space="preserve">. </w:t>
      </w:r>
    </w:p>
    <w:tbl>
      <w:tblPr>
        <w:tblStyle w:val="TableGrid"/>
        <w:tblW w:w="7338" w:type="dxa"/>
        <w:jc w:val="center"/>
        <w:tblBorders>
          <w:insideH w:val="none" w:sz="0" w:space="0" w:color="auto"/>
          <w:insideV w:val="none" w:sz="0" w:space="0" w:color="auto"/>
        </w:tblBorders>
        <w:shd w:val="clear" w:color="auto" w:fill="F2F2F2" w:themeFill="background1" w:themeFillShade="F2"/>
        <w:tblLook w:val="04A0" w:firstRow="1" w:lastRow="0" w:firstColumn="1" w:lastColumn="0" w:noHBand="0" w:noVBand="1"/>
      </w:tblPr>
      <w:tblGrid>
        <w:gridCol w:w="1809"/>
        <w:gridCol w:w="1843"/>
        <w:gridCol w:w="1843"/>
        <w:gridCol w:w="1843"/>
      </w:tblGrid>
      <w:tr>
        <w:trPr>
          <w:trHeight w:hRule="exact" w:val="567"/>
          <w:jc w:val="center"/>
        </w:trPr>
        <w:tc>
          <w:tcPr>
            <w:tcW w:w="7338" w:type="dxa"/>
            <w:gridSpan w:val="4"/>
            <w:tcBorders>
              <w:top w:val="single" w:sz="4" w:space="0" w:color="auto"/>
              <w:bottom w:val="single" w:sz="4" w:space="0" w:color="auto"/>
            </w:tcBorders>
            <w:shd w:val="clear" w:color="auto" w:fill="BFBFBF" w:themeFill="background1" w:themeFillShade="BF"/>
            <w:noWrap/>
            <w:vAlign w:val="center"/>
          </w:tcPr>
          <w:p>
            <w:pPr>
              <w:jc w:val="left"/>
              <w:rPr>
                <w:b/>
                <w:sz w:val="18"/>
                <w:szCs w:val="18"/>
                <w:lang w:eastAsia="en-ZA"/>
              </w:rPr>
            </w:pPr>
            <w:r>
              <w:rPr>
                <w:b/>
                <w:sz w:val="18"/>
                <w:szCs w:val="18"/>
                <w:lang w:eastAsia="en-ZA"/>
              </w:rPr>
              <w:t xml:space="preserve">Table 2: </w:t>
            </w:r>
            <w:r>
              <w:rPr>
                <w:sz w:val="18"/>
                <w:szCs w:val="18"/>
                <w:lang w:eastAsia="en-ZA"/>
              </w:rPr>
              <w:t>Kinetic parameter estimation for the Sabatier and RWGS reactions for different reactor pressure</w:t>
            </w:r>
          </w:p>
        </w:tc>
      </w:tr>
      <w:tr>
        <w:trPr>
          <w:trHeight w:hRule="exact" w:val="295"/>
          <w:jc w:val="center"/>
        </w:trPr>
        <w:tc>
          <w:tcPr>
            <w:tcW w:w="7338" w:type="dxa"/>
            <w:gridSpan w:val="4"/>
            <w:tcBorders>
              <w:top w:val="single" w:sz="4" w:space="0" w:color="auto"/>
              <w:bottom w:val="single" w:sz="4" w:space="0" w:color="auto"/>
            </w:tcBorders>
            <w:shd w:val="clear" w:color="auto" w:fill="F2F2F2" w:themeFill="background1" w:themeFillShade="F2"/>
            <w:noWrap/>
            <w:vAlign w:val="center"/>
            <w:hideMark/>
          </w:tcPr>
          <w:p>
            <w:pPr>
              <w:jc w:val="center"/>
              <w:rPr>
                <w:sz w:val="18"/>
                <w:szCs w:val="18"/>
                <w:lang w:eastAsia="en-ZA"/>
              </w:rPr>
            </w:pPr>
            <w:r>
              <w:rPr>
                <w:b/>
                <w:bCs/>
                <w:sz w:val="18"/>
                <w:szCs w:val="18"/>
                <w:lang w:eastAsia="en-ZA"/>
              </w:rPr>
              <w:t>Atmospheric</w:t>
            </w:r>
          </w:p>
        </w:tc>
      </w:tr>
      <w:tr>
        <w:trPr>
          <w:trHeight w:hRule="exact" w:val="295"/>
          <w:jc w:val="center"/>
        </w:trPr>
        <w:tc>
          <w:tcPr>
            <w:tcW w:w="3652" w:type="dxa"/>
            <w:gridSpan w:val="2"/>
            <w:tcBorders>
              <w:top w:val="single" w:sz="4" w:space="0" w:color="auto"/>
              <w:bottom w:val="single" w:sz="4" w:space="0" w:color="auto"/>
              <w:right w:val="single" w:sz="4" w:space="0" w:color="auto"/>
            </w:tcBorders>
            <w:shd w:val="clear" w:color="auto" w:fill="F2F2F2" w:themeFill="background1" w:themeFillShade="F2"/>
            <w:noWrap/>
            <w:vAlign w:val="center"/>
            <w:hideMark/>
          </w:tcPr>
          <w:p>
            <w:pPr>
              <w:jc w:val="center"/>
              <w:rPr>
                <w:sz w:val="18"/>
                <w:szCs w:val="18"/>
                <w:lang w:eastAsia="en-ZA"/>
              </w:rPr>
            </w:pPr>
            <w:r>
              <w:rPr>
                <w:sz w:val="18"/>
                <w:szCs w:val="18"/>
                <w:lang w:eastAsia="en-ZA"/>
              </w:rPr>
              <w:t xml:space="preserve">Sabatier </w:t>
            </w:r>
          </w:p>
        </w:tc>
        <w:tc>
          <w:tcPr>
            <w:tcW w:w="3686" w:type="dxa"/>
            <w:gridSpan w:val="2"/>
            <w:tcBorders>
              <w:top w:val="single" w:sz="4" w:space="0" w:color="auto"/>
              <w:left w:val="single" w:sz="4" w:space="0" w:color="auto"/>
              <w:bottom w:val="single" w:sz="4" w:space="0" w:color="auto"/>
            </w:tcBorders>
            <w:shd w:val="clear" w:color="auto" w:fill="F2F2F2" w:themeFill="background1" w:themeFillShade="F2"/>
            <w:noWrap/>
            <w:vAlign w:val="center"/>
            <w:hideMark/>
          </w:tcPr>
          <w:p>
            <w:pPr>
              <w:jc w:val="center"/>
              <w:rPr>
                <w:sz w:val="18"/>
                <w:szCs w:val="18"/>
                <w:lang w:eastAsia="en-ZA"/>
              </w:rPr>
            </w:pPr>
            <w:r>
              <w:rPr>
                <w:sz w:val="18"/>
                <w:szCs w:val="18"/>
                <w:lang w:eastAsia="en-ZA"/>
              </w:rPr>
              <w:t xml:space="preserve">RWGS </w:t>
            </w:r>
          </w:p>
        </w:tc>
      </w:tr>
      <w:tr>
        <w:trPr>
          <w:trHeight w:hRule="exact" w:val="295"/>
          <w:jc w:val="center"/>
        </w:trPr>
        <w:tc>
          <w:tcPr>
            <w:tcW w:w="1809" w:type="dxa"/>
            <w:tcBorders>
              <w:top w:val="single" w:sz="4" w:space="0" w:color="auto"/>
              <w:bottom w:val="single" w:sz="4" w:space="0" w:color="auto"/>
              <w:right w:val="single" w:sz="4" w:space="0" w:color="auto"/>
            </w:tcBorders>
            <w:shd w:val="clear" w:color="auto" w:fill="F2F2F2" w:themeFill="background1" w:themeFillShade="F2"/>
            <w:noWrap/>
            <w:vAlign w:val="center"/>
            <w:hideMark/>
          </w:tcPr>
          <w:p>
            <w:pPr>
              <w:jc w:val="left"/>
              <w:rPr>
                <w:sz w:val="18"/>
                <w:szCs w:val="18"/>
                <w:lang w:eastAsia="en-ZA"/>
              </w:rPr>
            </w:pPr>
            <w:r>
              <w:rPr>
                <w:sz w:val="18"/>
                <w:szCs w:val="18"/>
                <w:lang w:eastAsia="en-ZA"/>
              </w:rPr>
              <w:t>A (bar</w:t>
            </w:r>
            <w:r>
              <w:rPr>
                <w:sz w:val="18"/>
                <w:szCs w:val="18"/>
                <w:vertAlign w:val="superscript"/>
                <w:lang w:eastAsia="en-ZA"/>
              </w:rPr>
              <w:t>-2.5</w:t>
            </w:r>
            <w:r>
              <w:rPr>
                <w:sz w:val="18"/>
                <w:szCs w:val="18"/>
                <w:lang w:eastAsia="en-ZA"/>
              </w:rPr>
              <w:t>.s</w:t>
            </w:r>
            <w:r>
              <w:rPr>
                <w:sz w:val="18"/>
                <w:szCs w:val="18"/>
                <w:vertAlign w:val="superscript"/>
                <w:lang w:eastAsia="en-ZA"/>
              </w:rPr>
              <w:t>-1</w:t>
            </w:r>
            <w:r>
              <w:rPr>
                <w:sz w:val="18"/>
                <w:szCs w:val="18"/>
                <w:lang w:eastAsia="en-ZA"/>
              </w:rPr>
              <w:t>)</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pPr>
              <w:jc w:val="center"/>
              <w:rPr>
                <w:sz w:val="18"/>
                <w:szCs w:val="18"/>
                <w:lang w:eastAsia="en-ZA"/>
              </w:rPr>
            </w:pPr>
            <w:r>
              <w:rPr>
                <w:sz w:val="18"/>
                <w:szCs w:val="18"/>
                <w:lang w:eastAsia="en-ZA"/>
              </w:rPr>
              <w:t>6.17</w:t>
            </w:r>
            <w:r>
              <w:rPr>
                <w:rFonts w:cs="Arial"/>
                <w:sz w:val="18"/>
                <w:szCs w:val="18"/>
                <w:lang w:eastAsia="en-ZA"/>
              </w:rPr>
              <w:t>×</w:t>
            </w:r>
            <w:r>
              <w:rPr>
                <w:sz w:val="18"/>
                <w:szCs w:val="18"/>
                <w:lang w:eastAsia="en-ZA"/>
              </w:rPr>
              <w:t>10</w:t>
            </w:r>
            <w:r>
              <w:rPr>
                <w:sz w:val="18"/>
                <w:szCs w:val="18"/>
                <w:vertAlign w:val="superscript"/>
                <w:lang w:eastAsia="en-ZA"/>
              </w:rPr>
              <w:t>7</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pPr>
              <w:jc w:val="left"/>
              <w:rPr>
                <w:sz w:val="18"/>
                <w:szCs w:val="18"/>
                <w:lang w:eastAsia="en-ZA"/>
              </w:rPr>
            </w:pPr>
            <w:r>
              <w:rPr>
                <w:sz w:val="18"/>
                <w:szCs w:val="18"/>
                <w:lang w:eastAsia="en-ZA"/>
              </w:rPr>
              <w:t>A (s</w:t>
            </w:r>
            <w:r>
              <w:rPr>
                <w:sz w:val="18"/>
                <w:szCs w:val="18"/>
                <w:vertAlign w:val="superscript"/>
                <w:lang w:eastAsia="en-ZA"/>
              </w:rPr>
              <w:t>-1</w:t>
            </w:r>
            <w:r>
              <w:rPr>
                <w:sz w:val="18"/>
                <w:szCs w:val="18"/>
                <w:lang w:eastAsia="en-ZA"/>
              </w:rPr>
              <w:t>)</w:t>
            </w:r>
          </w:p>
        </w:tc>
        <w:tc>
          <w:tcPr>
            <w:tcW w:w="1843" w:type="dxa"/>
            <w:tcBorders>
              <w:top w:val="single" w:sz="4" w:space="0" w:color="auto"/>
              <w:left w:val="single" w:sz="4" w:space="0" w:color="auto"/>
              <w:bottom w:val="single" w:sz="4" w:space="0" w:color="auto"/>
            </w:tcBorders>
            <w:shd w:val="clear" w:color="auto" w:fill="F2F2F2" w:themeFill="background1" w:themeFillShade="F2"/>
            <w:noWrap/>
            <w:vAlign w:val="center"/>
            <w:hideMark/>
          </w:tcPr>
          <w:p>
            <w:pPr>
              <w:jc w:val="center"/>
              <w:rPr>
                <w:sz w:val="18"/>
                <w:szCs w:val="18"/>
                <w:lang w:eastAsia="en-ZA"/>
              </w:rPr>
            </w:pPr>
            <w:r>
              <w:rPr>
                <w:sz w:val="18"/>
                <w:szCs w:val="18"/>
                <w:lang w:eastAsia="en-ZA"/>
              </w:rPr>
              <w:t>2.94</w:t>
            </w:r>
            <w:r>
              <w:rPr>
                <w:rFonts w:cs="Arial"/>
                <w:sz w:val="18"/>
                <w:szCs w:val="18"/>
                <w:lang w:eastAsia="en-ZA"/>
              </w:rPr>
              <w:t>×</w:t>
            </w:r>
            <w:r>
              <w:rPr>
                <w:sz w:val="18"/>
                <w:szCs w:val="18"/>
                <w:lang w:eastAsia="en-ZA"/>
              </w:rPr>
              <w:t>10</w:t>
            </w:r>
            <w:r>
              <w:rPr>
                <w:sz w:val="18"/>
                <w:szCs w:val="18"/>
                <w:vertAlign w:val="superscript"/>
                <w:lang w:eastAsia="en-ZA"/>
              </w:rPr>
              <w:t>7</w:t>
            </w:r>
          </w:p>
        </w:tc>
      </w:tr>
      <w:tr>
        <w:trPr>
          <w:trHeight w:hRule="exact" w:val="295"/>
          <w:jc w:val="center"/>
        </w:trPr>
        <w:tc>
          <w:tcPr>
            <w:tcW w:w="1809" w:type="dxa"/>
            <w:tcBorders>
              <w:top w:val="single" w:sz="4" w:space="0" w:color="auto"/>
              <w:bottom w:val="single" w:sz="4" w:space="0" w:color="auto"/>
              <w:right w:val="single" w:sz="4" w:space="0" w:color="auto"/>
            </w:tcBorders>
            <w:shd w:val="clear" w:color="auto" w:fill="F2F2F2" w:themeFill="background1" w:themeFillShade="F2"/>
            <w:noWrap/>
            <w:vAlign w:val="center"/>
            <w:hideMark/>
          </w:tcPr>
          <w:p>
            <w:pPr>
              <w:jc w:val="left"/>
              <w:rPr>
                <w:sz w:val="18"/>
                <w:szCs w:val="18"/>
                <w:lang w:eastAsia="en-ZA"/>
              </w:rPr>
            </w:pPr>
            <w:r>
              <w:rPr>
                <w:sz w:val="18"/>
                <w:szCs w:val="18"/>
              </w:rPr>
              <w:t>E</w:t>
            </w:r>
            <w:r>
              <w:rPr>
                <w:sz w:val="18"/>
                <w:szCs w:val="18"/>
                <w:vertAlign w:val="subscript"/>
              </w:rPr>
              <w:t>a</w:t>
            </w:r>
            <w:r>
              <w:rPr>
                <w:sz w:val="18"/>
                <w:szCs w:val="18"/>
                <w:lang w:eastAsia="en-ZA"/>
              </w:rPr>
              <w:t xml:space="preserve"> (kJ.mol</w:t>
            </w:r>
            <w:r>
              <w:rPr>
                <w:sz w:val="18"/>
                <w:szCs w:val="18"/>
                <w:vertAlign w:val="superscript"/>
                <w:lang w:eastAsia="en-ZA"/>
              </w:rPr>
              <w:t>-1</w:t>
            </w:r>
            <w:r>
              <w:rPr>
                <w:sz w:val="18"/>
                <w:szCs w:val="18"/>
                <w:lang w:eastAsia="en-ZA"/>
              </w:rPr>
              <w:t>)</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pPr>
              <w:jc w:val="center"/>
              <w:rPr>
                <w:sz w:val="18"/>
                <w:szCs w:val="18"/>
                <w:lang w:eastAsia="en-ZA"/>
              </w:rPr>
            </w:pPr>
            <w:r>
              <w:rPr>
                <w:sz w:val="18"/>
                <w:szCs w:val="18"/>
                <w:lang w:eastAsia="en-ZA"/>
              </w:rPr>
              <w:t>77.96</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pPr>
              <w:jc w:val="left"/>
              <w:rPr>
                <w:sz w:val="18"/>
                <w:szCs w:val="18"/>
                <w:lang w:eastAsia="en-ZA"/>
              </w:rPr>
            </w:pPr>
            <w:r>
              <w:rPr>
                <w:sz w:val="18"/>
                <w:szCs w:val="18"/>
              </w:rPr>
              <w:t>E</w:t>
            </w:r>
            <w:r>
              <w:rPr>
                <w:sz w:val="18"/>
                <w:szCs w:val="18"/>
                <w:vertAlign w:val="subscript"/>
              </w:rPr>
              <w:t>a</w:t>
            </w:r>
            <w:r>
              <w:rPr>
                <w:sz w:val="18"/>
                <w:szCs w:val="18"/>
                <w:lang w:eastAsia="en-ZA"/>
              </w:rPr>
              <w:t xml:space="preserve"> (kJ.mol</w:t>
            </w:r>
            <w:r>
              <w:rPr>
                <w:sz w:val="18"/>
                <w:szCs w:val="18"/>
                <w:vertAlign w:val="superscript"/>
                <w:lang w:eastAsia="en-ZA"/>
              </w:rPr>
              <w:t>-1</w:t>
            </w:r>
            <w:r>
              <w:rPr>
                <w:sz w:val="18"/>
                <w:szCs w:val="18"/>
                <w:lang w:eastAsia="en-ZA"/>
              </w:rPr>
              <w:t>)</w:t>
            </w:r>
          </w:p>
        </w:tc>
        <w:tc>
          <w:tcPr>
            <w:tcW w:w="1843" w:type="dxa"/>
            <w:tcBorders>
              <w:top w:val="single" w:sz="4" w:space="0" w:color="auto"/>
              <w:left w:val="single" w:sz="4" w:space="0" w:color="auto"/>
              <w:bottom w:val="single" w:sz="4" w:space="0" w:color="auto"/>
            </w:tcBorders>
            <w:shd w:val="clear" w:color="auto" w:fill="F2F2F2" w:themeFill="background1" w:themeFillShade="F2"/>
            <w:noWrap/>
            <w:vAlign w:val="center"/>
            <w:hideMark/>
          </w:tcPr>
          <w:p>
            <w:pPr>
              <w:jc w:val="center"/>
              <w:rPr>
                <w:sz w:val="18"/>
                <w:szCs w:val="18"/>
                <w:lang w:eastAsia="en-ZA"/>
              </w:rPr>
            </w:pPr>
            <w:r>
              <w:rPr>
                <w:sz w:val="18"/>
                <w:szCs w:val="18"/>
                <w:lang w:eastAsia="en-ZA"/>
              </w:rPr>
              <w:t>89.83</w:t>
            </w:r>
          </w:p>
        </w:tc>
      </w:tr>
      <w:tr>
        <w:trPr>
          <w:trHeight w:hRule="exact" w:val="295"/>
          <w:jc w:val="center"/>
        </w:trPr>
        <w:tc>
          <w:tcPr>
            <w:tcW w:w="1809" w:type="dxa"/>
            <w:tcBorders>
              <w:top w:val="single" w:sz="4" w:space="0" w:color="auto"/>
              <w:bottom w:val="single" w:sz="4" w:space="0" w:color="auto"/>
              <w:right w:val="single" w:sz="4" w:space="0" w:color="auto"/>
            </w:tcBorders>
            <w:shd w:val="clear" w:color="auto" w:fill="F2F2F2" w:themeFill="background1" w:themeFillShade="F2"/>
            <w:noWrap/>
            <w:vAlign w:val="center"/>
            <w:hideMark/>
          </w:tcPr>
          <w:p>
            <w:pPr>
              <w:jc w:val="left"/>
              <w:rPr>
                <w:sz w:val="18"/>
                <w:szCs w:val="18"/>
                <w:lang w:eastAsia="en-ZA"/>
              </w:rPr>
            </w:pPr>
            <w:r>
              <w:rPr>
                <w:sz w:val="18"/>
                <w:szCs w:val="18"/>
                <w:lang w:eastAsia="en-ZA"/>
              </w:rPr>
              <w:t>n</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pPr>
              <w:jc w:val="center"/>
              <w:rPr>
                <w:sz w:val="18"/>
                <w:szCs w:val="18"/>
                <w:lang w:eastAsia="en-ZA"/>
              </w:rPr>
            </w:pPr>
            <w:r>
              <w:rPr>
                <w:sz w:val="18"/>
                <w:szCs w:val="18"/>
                <w:lang w:eastAsia="en-ZA"/>
              </w:rPr>
              <w:t>0.85</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pPr>
              <w:jc w:val="left"/>
              <w:rPr>
                <w:sz w:val="18"/>
                <w:szCs w:val="18"/>
                <w:lang w:eastAsia="en-ZA"/>
              </w:rPr>
            </w:pPr>
          </w:p>
        </w:tc>
        <w:tc>
          <w:tcPr>
            <w:tcW w:w="1843" w:type="dxa"/>
            <w:tcBorders>
              <w:top w:val="single" w:sz="4" w:space="0" w:color="auto"/>
              <w:left w:val="single" w:sz="4" w:space="0" w:color="auto"/>
              <w:bottom w:val="single" w:sz="4" w:space="0" w:color="auto"/>
            </w:tcBorders>
            <w:shd w:val="clear" w:color="auto" w:fill="F2F2F2" w:themeFill="background1" w:themeFillShade="F2"/>
            <w:noWrap/>
            <w:vAlign w:val="center"/>
            <w:hideMark/>
          </w:tcPr>
          <w:p>
            <w:pPr>
              <w:jc w:val="center"/>
              <w:rPr>
                <w:sz w:val="18"/>
                <w:szCs w:val="18"/>
                <w:lang w:eastAsia="en-ZA"/>
              </w:rPr>
            </w:pPr>
          </w:p>
        </w:tc>
      </w:tr>
      <w:tr>
        <w:trPr>
          <w:trHeight w:hRule="exact" w:val="295"/>
          <w:jc w:val="center"/>
        </w:trPr>
        <w:tc>
          <w:tcPr>
            <w:tcW w:w="7338" w:type="dxa"/>
            <w:gridSpan w:val="4"/>
            <w:tcBorders>
              <w:top w:val="single" w:sz="4" w:space="0" w:color="auto"/>
              <w:bottom w:val="single" w:sz="4" w:space="0" w:color="auto"/>
            </w:tcBorders>
            <w:shd w:val="clear" w:color="auto" w:fill="F2F2F2" w:themeFill="background1" w:themeFillShade="F2"/>
            <w:noWrap/>
            <w:vAlign w:val="center"/>
            <w:hideMark/>
          </w:tcPr>
          <w:p>
            <w:pPr>
              <w:jc w:val="center"/>
              <w:rPr>
                <w:sz w:val="18"/>
                <w:szCs w:val="18"/>
                <w:lang w:eastAsia="en-ZA"/>
              </w:rPr>
            </w:pPr>
            <w:r>
              <w:rPr>
                <w:b/>
                <w:bCs/>
                <w:sz w:val="18"/>
                <w:szCs w:val="18"/>
                <w:lang w:eastAsia="en-ZA"/>
              </w:rPr>
              <w:t>5 bar</w:t>
            </w:r>
          </w:p>
        </w:tc>
      </w:tr>
      <w:tr>
        <w:trPr>
          <w:trHeight w:hRule="exact" w:val="295"/>
          <w:jc w:val="center"/>
        </w:trPr>
        <w:tc>
          <w:tcPr>
            <w:tcW w:w="3652" w:type="dxa"/>
            <w:gridSpan w:val="2"/>
            <w:tcBorders>
              <w:top w:val="single" w:sz="4" w:space="0" w:color="auto"/>
              <w:bottom w:val="single" w:sz="4" w:space="0" w:color="auto"/>
              <w:right w:val="single" w:sz="4" w:space="0" w:color="auto"/>
            </w:tcBorders>
            <w:shd w:val="clear" w:color="auto" w:fill="F2F2F2" w:themeFill="background1" w:themeFillShade="F2"/>
            <w:noWrap/>
            <w:vAlign w:val="center"/>
            <w:hideMark/>
          </w:tcPr>
          <w:p>
            <w:pPr>
              <w:jc w:val="center"/>
              <w:rPr>
                <w:sz w:val="18"/>
                <w:szCs w:val="18"/>
                <w:lang w:eastAsia="en-ZA"/>
              </w:rPr>
            </w:pPr>
            <w:r>
              <w:rPr>
                <w:sz w:val="18"/>
                <w:szCs w:val="18"/>
                <w:lang w:eastAsia="en-ZA"/>
              </w:rPr>
              <w:t xml:space="preserve">Sabatier </w:t>
            </w:r>
          </w:p>
        </w:tc>
        <w:tc>
          <w:tcPr>
            <w:tcW w:w="3686" w:type="dxa"/>
            <w:gridSpan w:val="2"/>
            <w:tcBorders>
              <w:top w:val="single" w:sz="4" w:space="0" w:color="auto"/>
              <w:left w:val="single" w:sz="4" w:space="0" w:color="auto"/>
              <w:bottom w:val="single" w:sz="4" w:space="0" w:color="auto"/>
            </w:tcBorders>
            <w:shd w:val="clear" w:color="auto" w:fill="F2F2F2" w:themeFill="background1" w:themeFillShade="F2"/>
            <w:noWrap/>
            <w:vAlign w:val="center"/>
            <w:hideMark/>
          </w:tcPr>
          <w:p>
            <w:pPr>
              <w:jc w:val="center"/>
              <w:rPr>
                <w:sz w:val="18"/>
                <w:szCs w:val="18"/>
                <w:lang w:eastAsia="en-ZA"/>
              </w:rPr>
            </w:pPr>
            <w:r>
              <w:rPr>
                <w:sz w:val="18"/>
                <w:szCs w:val="18"/>
                <w:lang w:eastAsia="en-ZA"/>
              </w:rPr>
              <w:t xml:space="preserve">RWGS </w:t>
            </w:r>
          </w:p>
        </w:tc>
      </w:tr>
      <w:tr>
        <w:trPr>
          <w:trHeight w:hRule="exact" w:val="295"/>
          <w:jc w:val="center"/>
        </w:trPr>
        <w:tc>
          <w:tcPr>
            <w:tcW w:w="1809" w:type="dxa"/>
            <w:tcBorders>
              <w:top w:val="single" w:sz="4" w:space="0" w:color="auto"/>
              <w:bottom w:val="single" w:sz="4" w:space="0" w:color="auto"/>
              <w:right w:val="single" w:sz="4" w:space="0" w:color="auto"/>
            </w:tcBorders>
            <w:shd w:val="clear" w:color="auto" w:fill="F2F2F2" w:themeFill="background1" w:themeFillShade="F2"/>
            <w:noWrap/>
            <w:vAlign w:val="center"/>
            <w:hideMark/>
          </w:tcPr>
          <w:p>
            <w:pPr>
              <w:jc w:val="left"/>
              <w:rPr>
                <w:sz w:val="18"/>
                <w:szCs w:val="18"/>
                <w:lang w:eastAsia="en-ZA"/>
              </w:rPr>
            </w:pPr>
            <w:r>
              <w:rPr>
                <w:sz w:val="18"/>
                <w:szCs w:val="18"/>
                <w:lang w:eastAsia="en-ZA"/>
              </w:rPr>
              <w:t>A (bar</w:t>
            </w:r>
            <w:r>
              <w:rPr>
                <w:sz w:val="18"/>
                <w:szCs w:val="18"/>
                <w:vertAlign w:val="superscript"/>
                <w:lang w:eastAsia="en-ZA"/>
              </w:rPr>
              <w:t>-0.92</w:t>
            </w:r>
            <w:r>
              <w:rPr>
                <w:sz w:val="18"/>
                <w:szCs w:val="18"/>
                <w:lang w:eastAsia="en-ZA"/>
              </w:rPr>
              <w:t>.s</w:t>
            </w:r>
            <w:r>
              <w:rPr>
                <w:sz w:val="18"/>
                <w:szCs w:val="18"/>
                <w:vertAlign w:val="superscript"/>
                <w:lang w:eastAsia="en-ZA"/>
              </w:rPr>
              <w:t>-1</w:t>
            </w:r>
            <w:r>
              <w:rPr>
                <w:sz w:val="18"/>
                <w:szCs w:val="18"/>
                <w:lang w:eastAsia="en-ZA"/>
              </w:rPr>
              <w:t>)</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pPr>
              <w:jc w:val="center"/>
              <w:rPr>
                <w:sz w:val="18"/>
                <w:szCs w:val="18"/>
                <w:lang w:eastAsia="en-ZA"/>
              </w:rPr>
            </w:pPr>
            <w:r>
              <w:rPr>
                <w:sz w:val="18"/>
                <w:szCs w:val="18"/>
                <w:lang w:eastAsia="en-ZA"/>
              </w:rPr>
              <w:t>7.63</w:t>
            </w:r>
            <w:r>
              <w:rPr>
                <w:rFonts w:cs="Arial"/>
                <w:sz w:val="18"/>
                <w:szCs w:val="18"/>
                <w:lang w:eastAsia="en-ZA"/>
              </w:rPr>
              <w:t>×</w:t>
            </w:r>
            <w:r>
              <w:rPr>
                <w:sz w:val="18"/>
                <w:szCs w:val="18"/>
                <w:lang w:eastAsia="en-ZA"/>
              </w:rPr>
              <w:t>10</w:t>
            </w:r>
            <w:r>
              <w:rPr>
                <w:sz w:val="18"/>
                <w:szCs w:val="18"/>
                <w:vertAlign w:val="superscript"/>
                <w:lang w:eastAsia="en-ZA"/>
              </w:rPr>
              <w:t>6</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pPr>
              <w:jc w:val="left"/>
              <w:rPr>
                <w:sz w:val="18"/>
                <w:szCs w:val="18"/>
                <w:lang w:eastAsia="en-ZA"/>
              </w:rPr>
            </w:pPr>
            <w:r>
              <w:rPr>
                <w:sz w:val="18"/>
                <w:szCs w:val="18"/>
                <w:lang w:eastAsia="en-ZA"/>
              </w:rPr>
              <w:t>A (s</w:t>
            </w:r>
            <w:r>
              <w:rPr>
                <w:sz w:val="18"/>
                <w:szCs w:val="18"/>
                <w:vertAlign w:val="superscript"/>
                <w:lang w:eastAsia="en-ZA"/>
              </w:rPr>
              <w:t>-1</w:t>
            </w:r>
            <w:r>
              <w:rPr>
                <w:sz w:val="18"/>
                <w:szCs w:val="18"/>
                <w:lang w:eastAsia="en-ZA"/>
              </w:rPr>
              <w:t>)</w:t>
            </w:r>
          </w:p>
        </w:tc>
        <w:tc>
          <w:tcPr>
            <w:tcW w:w="1843" w:type="dxa"/>
            <w:tcBorders>
              <w:top w:val="single" w:sz="4" w:space="0" w:color="auto"/>
              <w:left w:val="single" w:sz="4" w:space="0" w:color="auto"/>
              <w:bottom w:val="single" w:sz="4" w:space="0" w:color="auto"/>
            </w:tcBorders>
            <w:shd w:val="clear" w:color="auto" w:fill="F2F2F2" w:themeFill="background1" w:themeFillShade="F2"/>
            <w:noWrap/>
            <w:vAlign w:val="center"/>
            <w:hideMark/>
          </w:tcPr>
          <w:p>
            <w:pPr>
              <w:jc w:val="center"/>
              <w:rPr>
                <w:sz w:val="18"/>
                <w:szCs w:val="18"/>
                <w:lang w:eastAsia="en-ZA"/>
              </w:rPr>
            </w:pPr>
            <w:r>
              <w:rPr>
                <w:sz w:val="18"/>
                <w:szCs w:val="18"/>
                <w:lang w:eastAsia="en-ZA"/>
              </w:rPr>
              <w:t>1.76</w:t>
            </w:r>
            <w:r>
              <w:rPr>
                <w:rFonts w:cs="Arial"/>
                <w:sz w:val="18"/>
                <w:szCs w:val="18"/>
                <w:lang w:eastAsia="en-ZA"/>
              </w:rPr>
              <w:t>×</w:t>
            </w:r>
            <w:r>
              <w:rPr>
                <w:sz w:val="18"/>
                <w:szCs w:val="18"/>
                <w:lang w:eastAsia="en-ZA"/>
              </w:rPr>
              <w:t>10</w:t>
            </w:r>
            <w:r>
              <w:rPr>
                <w:sz w:val="18"/>
                <w:szCs w:val="18"/>
                <w:vertAlign w:val="superscript"/>
                <w:lang w:eastAsia="en-ZA"/>
              </w:rPr>
              <w:t>7</w:t>
            </w:r>
          </w:p>
        </w:tc>
      </w:tr>
      <w:tr>
        <w:trPr>
          <w:trHeight w:hRule="exact" w:val="295"/>
          <w:jc w:val="center"/>
        </w:trPr>
        <w:tc>
          <w:tcPr>
            <w:tcW w:w="1809" w:type="dxa"/>
            <w:tcBorders>
              <w:top w:val="single" w:sz="4" w:space="0" w:color="auto"/>
              <w:bottom w:val="single" w:sz="4" w:space="0" w:color="auto"/>
              <w:right w:val="single" w:sz="4" w:space="0" w:color="auto"/>
            </w:tcBorders>
            <w:shd w:val="clear" w:color="auto" w:fill="F2F2F2" w:themeFill="background1" w:themeFillShade="F2"/>
            <w:noWrap/>
            <w:vAlign w:val="center"/>
            <w:hideMark/>
          </w:tcPr>
          <w:p>
            <w:pPr>
              <w:jc w:val="left"/>
              <w:rPr>
                <w:sz w:val="18"/>
                <w:szCs w:val="18"/>
                <w:lang w:eastAsia="en-ZA"/>
              </w:rPr>
            </w:pPr>
            <w:r>
              <w:rPr>
                <w:sz w:val="18"/>
                <w:szCs w:val="18"/>
              </w:rPr>
              <w:t>E</w:t>
            </w:r>
            <w:r>
              <w:rPr>
                <w:sz w:val="18"/>
                <w:szCs w:val="18"/>
                <w:vertAlign w:val="subscript"/>
              </w:rPr>
              <w:t>a</w:t>
            </w:r>
            <w:r>
              <w:rPr>
                <w:sz w:val="18"/>
                <w:szCs w:val="18"/>
                <w:lang w:eastAsia="en-ZA"/>
              </w:rPr>
              <w:t xml:space="preserve"> (kJ.mol</w:t>
            </w:r>
            <w:r>
              <w:rPr>
                <w:sz w:val="18"/>
                <w:szCs w:val="18"/>
                <w:vertAlign w:val="superscript"/>
                <w:lang w:eastAsia="en-ZA"/>
              </w:rPr>
              <w:t>-1</w:t>
            </w:r>
            <w:r>
              <w:rPr>
                <w:sz w:val="18"/>
                <w:szCs w:val="18"/>
                <w:lang w:eastAsia="en-ZA"/>
              </w:rPr>
              <w:t>)</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pPr>
              <w:jc w:val="center"/>
              <w:rPr>
                <w:sz w:val="18"/>
                <w:szCs w:val="18"/>
                <w:lang w:eastAsia="en-ZA"/>
              </w:rPr>
            </w:pPr>
            <w:r>
              <w:rPr>
                <w:sz w:val="18"/>
                <w:szCs w:val="18"/>
                <w:lang w:eastAsia="en-ZA"/>
              </w:rPr>
              <w:t>74.73</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pPr>
              <w:jc w:val="left"/>
              <w:rPr>
                <w:sz w:val="18"/>
                <w:szCs w:val="18"/>
                <w:lang w:eastAsia="en-ZA"/>
              </w:rPr>
            </w:pPr>
            <w:r>
              <w:rPr>
                <w:sz w:val="18"/>
                <w:szCs w:val="18"/>
              </w:rPr>
              <w:t>E</w:t>
            </w:r>
            <w:r>
              <w:rPr>
                <w:sz w:val="18"/>
                <w:szCs w:val="18"/>
                <w:vertAlign w:val="subscript"/>
              </w:rPr>
              <w:t>a</w:t>
            </w:r>
            <w:r>
              <w:rPr>
                <w:sz w:val="18"/>
                <w:szCs w:val="18"/>
                <w:lang w:eastAsia="en-ZA"/>
              </w:rPr>
              <w:t xml:space="preserve"> (kJ.mol</w:t>
            </w:r>
            <w:r>
              <w:rPr>
                <w:sz w:val="18"/>
                <w:szCs w:val="18"/>
                <w:vertAlign w:val="superscript"/>
                <w:lang w:eastAsia="en-ZA"/>
              </w:rPr>
              <w:t>-1</w:t>
            </w:r>
            <w:r>
              <w:rPr>
                <w:sz w:val="18"/>
                <w:szCs w:val="18"/>
                <w:lang w:eastAsia="en-ZA"/>
              </w:rPr>
              <w:t>)</w:t>
            </w:r>
          </w:p>
        </w:tc>
        <w:tc>
          <w:tcPr>
            <w:tcW w:w="1843" w:type="dxa"/>
            <w:tcBorders>
              <w:top w:val="single" w:sz="4" w:space="0" w:color="auto"/>
              <w:left w:val="single" w:sz="4" w:space="0" w:color="auto"/>
              <w:bottom w:val="single" w:sz="4" w:space="0" w:color="auto"/>
            </w:tcBorders>
            <w:shd w:val="clear" w:color="auto" w:fill="F2F2F2" w:themeFill="background1" w:themeFillShade="F2"/>
            <w:noWrap/>
            <w:vAlign w:val="center"/>
            <w:hideMark/>
          </w:tcPr>
          <w:p>
            <w:pPr>
              <w:jc w:val="center"/>
              <w:rPr>
                <w:sz w:val="18"/>
                <w:szCs w:val="18"/>
                <w:lang w:eastAsia="en-ZA"/>
              </w:rPr>
            </w:pPr>
            <w:r>
              <w:rPr>
                <w:sz w:val="18"/>
                <w:szCs w:val="18"/>
                <w:lang w:eastAsia="en-ZA"/>
              </w:rPr>
              <w:t>85.94</w:t>
            </w:r>
          </w:p>
        </w:tc>
      </w:tr>
      <w:tr>
        <w:trPr>
          <w:trHeight w:hRule="exact" w:val="295"/>
          <w:jc w:val="center"/>
        </w:trPr>
        <w:tc>
          <w:tcPr>
            <w:tcW w:w="1809" w:type="dxa"/>
            <w:tcBorders>
              <w:top w:val="single" w:sz="4" w:space="0" w:color="auto"/>
              <w:bottom w:val="single" w:sz="4" w:space="0" w:color="auto"/>
              <w:right w:val="single" w:sz="4" w:space="0" w:color="auto"/>
            </w:tcBorders>
            <w:shd w:val="clear" w:color="auto" w:fill="F2F2F2" w:themeFill="background1" w:themeFillShade="F2"/>
            <w:noWrap/>
            <w:vAlign w:val="center"/>
            <w:hideMark/>
          </w:tcPr>
          <w:p>
            <w:pPr>
              <w:jc w:val="left"/>
              <w:rPr>
                <w:sz w:val="18"/>
                <w:szCs w:val="18"/>
                <w:lang w:eastAsia="en-ZA"/>
              </w:rPr>
            </w:pPr>
            <w:r>
              <w:rPr>
                <w:sz w:val="18"/>
                <w:szCs w:val="18"/>
                <w:lang w:eastAsia="en-ZA"/>
              </w:rPr>
              <w:t>n</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pPr>
              <w:jc w:val="center"/>
              <w:rPr>
                <w:sz w:val="18"/>
                <w:szCs w:val="18"/>
                <w:lang w:eastAsia="en-ZA"/>
              </w:rPr>
            </w:pPr>
            <w:r>
              <w:rPr>
                <w:sz w:val="18"/>
                <w:szCs w:val="18"/>
                <w:lang w:eastAsia="en-ZA"/>
              </w:rPr>
              <w:t>0.305</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pPr>
              <w:jc w:val="left"/>
              <w:rPr>
                <w:sz w:val="18"/>
                <w:szCs w:val="18"/>
                <w:lang w:eastAsia="en-ZA"/>
              </w:rPr>
            </w:pPr>
          </w:p>
        </w:tc>
        <w:tc>
          <w:tcPr>
            <w:tcW w:w="1843" w:type="dxa"/>
            <w:tcBorders>
              <w:top w:val="single" w:sz="4" w:space="0" w:color="auto"/>
              <w:left w:val="single" w:sz="4" w:space="0" w:color="auto"/>
              <w:bottom w:val="single" w:sz="4" w:space="0" w:color="auto"/>
            </w:tcBorders>
            <w:shd w:val="clear" w:color="auto" w:fill="F2F2F2" w:themeFill="background1" w:themeFillShade="F2"/>
            <w:noWrap/>
            <w:vAlign w:val="center"/>
            <w:hideMark/>
          </w:tcPr>
          <w:p>
            <w:pPr>
              <w:jc w:val="center"/>
              <w:rPr>
                <w:sz w:val="18"/>
                <w:szCs w:val="18"/>
                <w:lang w:eastAsia="en-ZA"/>
              </w:rPr>
            </w:pPr>
          </w:p>
        </w:tc>
      </w:tr>
      <w:tr>
        <w:trPr>
          <w:trHeight w:hRule="exact" w:val="295"/>
          <w:jc w:val="center"/>
        </w:trPr>
        <w:tc>
          <w:tcPr>
            <w:tcW w:w="7338" w:type="dxa"/>
            <w:gridSpan w:val="4"/>
            <w:tcBorders>
              <w:top w:val="single" w:sz="4" w:space="0" w:color="auto"/>
              <w:bottom w:val="single" w:sz="4" w:space="0" w:color="auto"/>
            </w:tcBorders>
            <w:shd w:val="clear" w:color="auto" w:fill="F2F2F2" w:themeFill="background1" w:themeFillShade="F2"/>
            <w:noWrap/>
            <w:vAlign w:val="center"/>
            <w:hideMark/>
          </w:tcPr>
          <w:p>
            <w:pPr>
              <w:jc w:val="center"/>
              <w:rPr>
                <w:sz w:val="18"/>
                <w:szCs w:val="18"/>
                <w:lang w:eastAsia="en-ZA"/>
              </w:rPr>
            </w:pPr>
            <w:r>
              <w:rPr>
                <w:b/>
                <w:bCs/>
                <w:sz w:val="18"/>
                <w:szCs w:val="18"/>
                <w:lang w:eastAsia="en-ZA"/>
              </w:rPr>
              <w:t>10 bar</w:t>
            </w:r>
          </w:p>
        </w:tc>
      </w:tr>
      <w:tr>
        <w:trPr>
          <w:trHeight w:hRule="exact" w:val="295"/>
          <w:jc w:val="center"/>
        </w:trPr>
        <w:tc>
          <w:tcPr>
            <w:tcW w:w="3652" w:type="dxa"/>
            <w:gridSpan w:val="2"/>
            <w:tcBorders>
              <w:top w:val="single" w:sz="4" w:space="0" w:color="auto"/>
              <w:bottom w:val="single" w:sz="4" w:space="0" w:color="auto"/>
              <w:right w:val="single" w:sz="4" w:space="0" w:color="auto"/>
            </w:tcBorders>
            <w:shd w:val="clear" w:color="auto" w:fill="F2F2F2" w:themeFill="background1" w:themeFillShade="F2"/>
            <w:noWrap/>
            <w:vAlign w:val="center"/>
            <w:hideMark/>
          </w:tcPr>
          <w:p>
            <w:pPr>
              <w:jc w:val="center"/>
              <w:rPr>
                <w:sz w:val="18"/>
                <w:szCs w:val="18"/>
                <w:lang w:eastAsia="en-ZA"/>
              </w:rPr>
            </w:pPr>
            <w:r>
              <w:rPr>
                <w:sz w:val="18"/>
                <w:szCs w:val="18"/>
                <w:lang w:eastAsia="en-ZA"/>
              </w:rPr>
              <w:t xml:space="preserve">Sabatier </w:t>
            </w:r>
          </w:p>
        </w:tc>
        <w:tc>
          <w:tcPr>
            <w:tcW w:w="3686" w:type="dxa"/>
            <w:gridSpan w:val="2"/>
            <w:tcBorders>
              <w:top w:val="single" w:sz="4" w:space="0" w:color="auto"/>
              <w:left w:val="single" w:sz="4" w:space="0" w:color="auto"/>
              <w:bottom w:val="single" w:sz="4" w:space="0" w:color="auto"/>
            </w:tcBorders>
            <w:shd w:val="clear" w:color="auto" w:fill="F2F2F2" w:themeFill="background1" w:themeFillShade="F2"/>
            <w:noWrap/>
            <w:vAlign w:val="center"/>
            <w:hideMark/>
          </w:tcPr>
          <w:p>
            <w:pPr>
              <w:jc w:val="center"/>
              <w:rPr>
                <w:sz w:val="18"/>
                <w:szCs w:val="18"/>
                <w:lang w:eastAsia="en-ZA"/>
              </w:rPr>
            </w:pPr>
            <w:r>
              <w:rPr>
                <w:sz w:val="18"/>
                <w:szCs w:val="18"/>
                <w:lang w:eastAsia="en-ZA"/>
              </w:rPr>
              <w:t xml:space="preserve">RWGS </w:t>
            </w:r>
          </w:p>
        </w:tc>
      </w:tr>
      <w:tr>
        <w:trPr>
          <w:trHeight w:hRule="exact" w:val="295"/>
          <w:jc w:val="center"/>
        </w:trPr>
        <w:tc>
          <w:tcPr>
            <w:tcW w:w="1809" w:type="dxa"/>
            <w:tcBorders>
              <w:top w:val="single" w:sz="4" w:space="0" w:color="auto"/>
              <w:bottom w:val="single" w:sz="4" w:space="0" w:color="auto"/>
              <w:right w:val="single" w:sz="4" w:space="0" w:color="auto"/>
            </w:tcBorders>
            <w:shd w:val="clear" w:color="auto" w:fill="F2F2F2" w:themeFill="background1" w:themeFillShade="F2"/>
            <w:noWrap/>
            <w:vAlign w:val="center"/>
            <w:hideMark/>
          </w:tcPr>
          <w:p>
            <w:pPr>
              <w:jc w:val="left"/>
              <w:rPr>
                <w:sz w:val="18"/>
                <w:szCs w:val="18"/>
                <w:lang w:eastAsia="en-ZA"/>
              </w:rPr>
            </w:pPr>
            <w:r>
              <w:rPr>
                <w:sz w:val="18"/>
                <w:szCs w:val="18"/>
                <w:lang w:eastAsia="en-ZA"/>
              </w:rPr>
              <w:t>A (bar</w:t>
            </w:r>
            <w:r>
              <w:rPr>
                <w:sz w:val="18"/>
                <w:szCs w:val="18"/>
                <w:vertAlign w:val="superscript"/>
                <w:lang w:eastAsia="en-ZA"/>
              </w:rPr>
              <w:t>-0.67</w:t>
            </w:r>
            <w:r>
              <w:rPr>
                <w:sz w:val="18"/>
                <w:szCs w:val="18"/>
                <w:lang w:eastAsia="en-ZA"/>
              </w:rPr>
              <w:t>.s</w:t>
            </w:r>
            <w:r>
              <w:rPr>
                <w:sz w:val="18"/>
                <w:szCs w:val="18"/>
                <w:vertAlign w:val="superscript"/>
                <w:lang w:eastAsia="en-ZA"/>
              </w:rPr>
              <w:t>-1</w:t>
            </w:r>
            <w:r>
              <w:rPr>
                <w:sz w:val="18"/>
                <w:szCs w:val="18"/>
                <w:lang w:eastAsia="en-ZA"/>
              </w:rPr>
              <w:t>)</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pPr>
              <w:jc w:val="center"/>
              <w:rPr>
                <w:sz w:val="18"/>
                <w:szCs w:val="18"/>
                <w:lang w:eastAsia="en-ZA"/>
              </w:rPr>
            </w:pPr>
            <w:r>
              <w:rPr>
                <w:sz w:val="18"/>
                <w:szCs w:val="18"/>
                <w:lang w:eastAsia="en-ZA"/>
              </w:rPr>
              <w:t>6.83</w:t>
            </w:r>
            <w:r>
              <w:rPr>
                <w:rFonts w:cs="Arial"/>
                <w:sz w:val="18"/>
                <w:szCs w:val="18"/>
                <w:lang w:eastAsia="en-ZA"/>
              </w:rPr>
              <w:t>×</w:t>
            </w:r>
            <w:r>
              <w:rPr>
                <w:sz w:val="18"/>
                <w:szCs w:val="18"/>
                <w:lang w:eastAsia="en-ZA"/>
              </w:rPr>
              <w:t>10</w:t>
            </w:r>
            <w:r>
              <w:rPr>
                <w:sz w:val="18"/>
                <w:szCs w:val="18"/>
                <w:vertAlign w:val="superscript"/>
                <w:lang w:eastAsia="en-ZA"/>
              </w:rPr>
              <w:t>6</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pPr>
              <w:jc w:val="left"/>
              <w:rPr>
                <w:sz w:val="18"/>
                <w:szCs w:val="18"/>
                <w:lang w:eastAsia="en-ZA"/>
              </w:rPr>
            </w:pPr>
            <w:r>
              <w:rPr>
                <w:sz w:val="18"/>
                <w:szCs w:val="18"/>
                <w:lang w:eastAsia="en-ZA"/>
              </w:rPr>
              <w:t>A (s</w:t>
            </w:r>
            <w:r>
              <w:rPr>
                <w:sz w:val="18"/>
                <w:szCs w:val="18"/>
                <w:vertAlign w:val="superscript"/>
                <w:lang w:eastAsia="en-ZA"/>
              </w:rPr>
              <w:t>-1</w:t>
            </w:r>
            <w:r>
              <w:rPr>
                <w:sz w:val="18"/>
                <w:szCs w:val="18"/>
                <w:lang w:eastAsia="en-ZA"/>
              </w:rPr>
              <w:t>)</w:t>
            </w:r>
          </w:p>
        </w:tc>
        <w:tc>
          <w:tcPr>
            <w:tcW w:w="1843" w:type="dxa"/>
            <w:tcBorders>
              <w:top w:val="single" w:sz="4" w:space="0" w:color="auto"/>
              <w:left w:val="single" w:sz="4" w:space="0" w:color="auto"/>
              <w:bottom w:val="single" w:sz="4" w:space="0" w:color="auto"/>
            </w:tcBorders>
            <w:shd w:val="clear" w:color="auto" w:fill="F2F2F2" w:themeFill="background1" w:themeFillShade="F2"/>
            <w:noWrap/>
            <w:vAlign w:val="center"/>
            <w:hideMark/>
          </w:tcPr>
          <w:p>
            <w:pPr>
              <w:jc w:val="center"/>
              <w:rPr>
                <w:sz w:val="18"/>
                <w:szCs w:val="18"/>
                <w:lang w:eastAsia="en-ZA"/>
              </w:rPr>
            </w:pPr>
            <w:r>
              <w:rPr>
                <w:sz w:val="18"/>
                <w:szCs w:val="18"/>
                <w:lang w:eastAsia="en-ZA"/>
              </w:rPr>
              <w:t>3.63</w:t>
            </w:r>
            <w:r>
              <w:rPr>
                <w:rFonts w:cs="Arial"/>
                <w:sz w:val="18"/>
                <w:szCs w:val="18"/>
                <w:lang w:eastAsia="en-ZA"/>
              </w:rPr>
              <w:t>×</w:t>
            </w:r>
            <w:r>
              <w:rPr>
                <w:sz w:val="18"/>
                <w:szCs w:val="18"/>
                <w:lang w:eastAsia="en-ZA"/>
              </w:rPr>
              <w:t>10</w:t>
            </w:r>
            <w:r>
              <w:rPr>
                <w:sz w:val="18"/>
                <w:szCs w:val="18"/>
                <w:vertAlign w:val="superscript"/>
                <w:lang w:eastAsia="en-ZA"/>
              </w:rPr>
              <w:t>6</w:t>
            </w:r>
          </w:p>
        </w:tc>
      </w:tr>
      <w:tr>
        <w:trPr>
          <w:trHeight w:hRule="exact" w:val="295"/>
          <w:jc w:val="center"/>
        </w:trPr>
        <w:tc>
          <w:tcPr>
            <w:tcW w:w="1809" w:type="dxa"/>
            <w:tcBorders>
              <w:top w:val="single" w:sz="4" w:space="0" w:color="auto"/>
              <w:bottom w:val="single" w:sz="4" w:space="0" w:color="auto"/>
              <w:right w:val="single" w:sz="4" w:space="0" w:color="auto"/>
            </w:tcBorders>
            <w:shd w:val="clear" w:color="auto" w:fill="F2F2F2" w:themeFill="background1" w:themeFillShade="F2"/>
            <w:noWrap/>
            <w:vAlign w:val="center"/>
            <w:hideMark/>
          </w:tcPr>
          <w:p>
            <w:pPr>
              <w:jc w:val="left"/>
              <w:rPr>
                <w:sz w:val="18"/>
                <w:szCs w:val="18"/>
                <w:lang w:eastAsia="en-ZA"/>
              </w:rPr>
            </w:pPr>
            <w:r>
              <w:rPr>
                <w:sz w:val="18"/>
                <w:szCs w:val="18"/>
              </w:rPr>
              <w:t>E</w:t>
            </w:r>
            <w:r>
              <w:rPr>
                <w:sz w:val="18"/>
                <w:szCs w:val="18"/>
                <w:vertAlign w:val="subscript"/>
              </w:rPr>
              <w:t>a</w:t>
            </w:r>
            <w:r>
              <w:rPr>
                <w:sz w:val="18"/>
                <w:szCs w:val="18"/>
                <w:lang w:eastAsia="en-ZA"/>
              </w:rPr>
              <w:t xml:space="preserve"> (kJ.mol</w:t>
            </w:r>
            <w:r>
              <w:rPr>
                <w:sz w:val="18"/>
                <w:szCs w:val="18"/>
                <w:vertAlign w:val="superscript"/>
                <w:lang w:eastAsia="en-ZA"/>
              </w:rPr>
              <w:t>-1</w:t>
            </w:r>
            <w:r>
              <w:rPr>
                <w:sz w:val="18"/>
                <w:szCs w:val="18"/>
                <w:lang w:eastAsia="en-ZA"/>
              </w:rPr>
              <w:t>)</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pPr>
              <w:jc w:val="center"/>
              <w:rPr>
                <w:sz w:val="18"/>
                <w:szCs w:val="18"/>
                <w:lang w:eastAsia="en-ZA"/>
              </w:rPr>
            </w:pPr>
            <w:r>
              <w:rPr>
                <w:sz w:val="18"/>
                <w:szCs w:val="18"/>
                <w:lang w:eastAsia="en-ZA"/>
              </w:rPr>
              <w:t>69.35</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pPr>
              <w:jc w:val="left"/>
              <w:rPr>
                <w:sz w:val="18"/>
                <w:szCs w:val="18"/>
                <w:lang w:eastAsia="en-ZA"/>
              </w:rPr>
            </w:pPr>
            <w:r>
              <w:rPr>
                <w:sz w:val="18"/>
                <w:szCs w:val="18"/>
              </w:rPr>
              <w:t>E</w:t>
            </w:r>
            <w:r>
              <w:rPr>
                <w:sz w:val="18"/>
                <w:szCs w:val="18"/>
                <w:vertAlign w:val="subscript"/>
              </w:rPr>
              <w:t>a</w:t>
            </w:r>
            <w:r>
              <w:rPr>
                <w:sz w:val="18"/>
                <w:szCs w:val="18"/>
                <w:lang w:eastAsia="en-ZA"/>
              </w:rPr>
              <w:t xml:space="preserve"> (kJ.mol</w:t>
            </w:r>
            <w:r>
              <w:rPr>
                <w:sz w:val="18"/>
                <w:szCs w:val="18"/>
                <w:vertAlign w:val="superscript"/>
                <w:lang w:eastAsia="en-ZA"/>
              </w:rPr>
              <w:t>-1</w:t>
            </w:r>
            <w:r>
              <w:rPr>
                <w:sz w:val="18"/>
                <w:szCs w:val="18"/>
                <w:lang w:eastAsia="en-ZA"/>
              </w:rPr>
              <w:t>)</w:t>
            </w:r>
          </w:p>
        </w:tc>
        <w:tc>
          <w:tcPr>
            <w:tcW w:w="1843" w:type="dxa"/>
            <w:tcBorders>
              <w:top w:val="single" w:sz="4" w:space="0" w:color="auto"/>
              <w:left w:val="single" w:sz="4" w:space="0" w:color="auto"/>
              <w:bottom w:val="single" w:sz="4" w:space="0" w:color="auto"/>
            </w:tcBorders>
            <w:shd w:val="clear" w:color="auto" w:fill="F2F2F2" w:themeFill="background1" w:themeFillShade="F2"/>
            <w:noWrap/>
            <w:vAlign w:val="center"/>
            <w:hideMark/>
          </w:tcPr>
          <w:p>
            <w:pPr>
              <w:jc w:val="center"/>
              <w:rPr>
                <w:sz w:val="18"/>
                <w:szCs w:val="18"/>
                <w:lang w:eastAsia="en-ZA"/>
              </w:rPr>
            </w:pPr>
            <w:r>
              <w:rPr>
                <w:sz w:val="18"/>
                <w:szCs w:val="18"/>
                <w:lang w:eastAsia="en-ZA"/>
              </w:rPr>
              <w:t>77.36</w:t>
            </w:r>
          </w:p>
        </w:tc>
      </w:tr>
      <w:tr>
        <w:trPr>
          <w:trHeight w:hRule="exact" w:val="295"/>
          <w:jc w:val="center"/>
        </w:trPr>
        <w:tc>
          <w:tcPr>
            <w:tcW w:w="1809" w:type="dxa"/>
            <w:tcBorders>
              <w:top w:val="single" w:sz="4" w:space="0" w:color="auto"/>
              <w:bottom w:val="single" w:sz="4" w:space="0" w:color="auto"/>
              <w:right w:val="single" w:sz="4" w:space="0" w:color="auto"/>
            </w:tcBorders>
            <w:shd w:val="clear" w:color="auto" w:fill="F2F2F2" w:themeFill="background1" w:themeFillShade="F2"/>
            <w:noWrap/>
            <w:vAlign w:val="center"/>
            <w:hideMark/>
          </w:tcPr>
          <w:p>
            <w:pPr>
              <w:jc w:val="left"/>
              <w:rPr>
                <w:sz w:val="18"/>
                <w:szCs w:val="18"/>
                <w:lang w:eastAsia="en-ZA"/>
              </w:rPr>
            </w:pPr>
            <w:r>
              <w:rPr>
                <w:sz w:val="18"/>
                <w:szCs w:val="18"/>
                <w:lang w:eastAsia="en-ZA"/>
              </w:rPr>
              <w:t>n</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pPr>
              <w:jc w:val="center"/>
              <w:rPr>
                <w:sz w:val="18"/>
                <w:szCs w:val="18"/>
                <w:lang w:eastAsia="en-ZA"/>
              </w:rPr>
            </w:pPr>
            <w:r>
              <w:rPr>
                <w:sz w:val="18"/>
                <w:szCs w:val="18"/>
                <w:lang w:eastAsia="en-ZA"/>
              </w:rPr>
              <w:t>0.222</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pPr>
              <w:jc w:val="left"/>
              <w:rPr>
                <w:sz w:val="18"/>
                <w:szCs w:val="18"/>
                <w:lang w:eastAsia="en-ZA"/>
              </w:rPr>
            </w:pPr>
          </w:p>
        </w:tc>
        <w:tc>
          <w:tcPr>
            <w:tcW w:w="1843" w:type="dxa"/>
            <w:tcBorders>
              <w:top w:val="single" w:sz="4" w:space="0" w:color="auto"/>
              <w:left w:val="single" w:sz="4" w:space="0" w:color="auto"/>
              <w:bottom w:val="single" w:sz="4" w:space="0" w:color="auto"/>
            </w:tcBorders>
            <w:shd w:val="clear" w:color="auto" w:fill="F2F2F2" w:themeFill="background1" w:themeFillShade="F2"/>
            <w:noWrap/>
            <w:vAlign w:val="center"/>
            <w:hideMark/>
          </w:tcPr>
          <w:p>
            <w:pPr>
              <w:jc w:val="center"/>
              <w:rPr>
                <w:sz w:val="18"/>
                <w:szCs w:val="18"/>
                <w:lang w:eastAsia="en-ZA"/>
              </w:rPr>
            </w:pPr>
          </w:p>
        </w:tc>
      </w:tr>
    </w:tbl>
    <w:p>
      <w:pPr>
        <w:rPr>
          <w:lang w:val="en-US" w:eastAsia="en-ZA" w:bidi="en-US"/>
        </w:rPr>
      </w:pPr>
    </w:p>
    <w:p>
      <w:pPr>
        <w:spacing w:line="480" w:lineRule="auto"/>
      </w:pPr>
      <w:r>
        <w:rPr>
          <w:lang w:val="en-US" w:eastAsia="en-ZA" w:bidi="en-US"/>
        </w:rPr>
        <w:tab/>
        <w:t>At atmospheric pressure, activation energy values for the Sabatier and RWGS reactions were observed to be within reasonable range of the reference values (69.06 and 83.2 kJ.mol</w:t>
      </w:r>
      <w:r>
        <w:rPr>
          <w:vertAlign w:val="superscript"/>
          <w:lang w:val="en-US" w:eastAsia="en-ZA" w:bidi="en-US"/>
        </w:rPr>
        <w:t>-1</w:t>
      </w:r>
      <w:r>
        <w:rPr>
          <w:lang w:val="en-US" w:eastAsia="en-ZA" w:bidi="en-US"/>
        </w:rPr>
        <w:t>, respectively) as reported by Ohya</w:t>
      </w:r>
      <w:r>
        <w:t xml:space="preserve"> et al. </w:t>
      </w:r>
      <w:r>
        <w:fldChar w:fldCharType="begin" w:fldLock="1"/>
      </w:r>
      <w:r>
        <w:instrText>ADDIN CSL_CITATION { "citationItems" : [ { "id" : "ITEM-1", "itemData" : { "DOI" : "10.1016/S0376-7388(97)00055-0", "ISSN" : "03767388", "abstract" : "Using membrane reactor integrated with water vapor permselective membrane, the Sabatier reaction for the methanation of carbon dioxide with hydrogen, CO2 + 4H2 ??? CH4+2H2O, was investigated. The reaction experiments were carried out under the conditions of superficial space velocity 0.030-0.123 s-1, molar ratio of H2 to CO2 in the feed gas, 1-5, operating pressure 0.2 MPa absolute, and temperature 480-719 K. The conversion was increased about 18% in maximum with the membrane. Theoretical equations for Sabatier reaction with and without membrane were derived and applied to analyze the experimental data of CO2 conversion.", "author" : [ { "dropping-particle" : "", "family" : "Ohya", "given" : "Haruhiko", "non-dropping-particle" : "", "parse-names" : false, "suffix" : "" }, { "dropping-particle" : "", "family" : "Fun", "given" : "Jun", "non-dropping-particle" : "", "parse-names" : false, "suffix" : "" }, { "dropping-particle" : "", "family" : "Kawamura", "given" : "Hironori", "non-dropping-particle" : "", "parse-names" : false, "suffix" : "" }, { "dropping-particle" : "", "family" : "Itoh", "given" : "Koutarou", "non-dropping-particle" : "", "parse-names" : false, "suffix" : "" }, { "dropping-particle" : "", "family" : "Ohashi", "given" : "Hirofumi", "non-dropping-particle" : "", "parse-names" : false, "suffix" : "" }, { "dropping-particle" : "", "family" : "Aihara", "given" : "Masahiko", "non-dropping-particle" : "", "parse-names" : false, "suffix" : "" }, { "dropping-particle" : "", "family" : "Tanisho", "given" : "Shigeharu", "non-dropping-particle" : "", "parse-names" : false, "suffix" : "" }, { "dropping-particle" : "", "family" : "Negishi", "given" : "Youichi", "non-dropping-particle" : "", "parse-names" : false, "suffix" : "" } ], "container-title" : "Journal of Membrane Science", "id" : "ITEM-1", "issue" : "1-2", "issued" : { "date-parts" : [ [ "1997" ] ] }, "page" : "237-247", "title" : "Methanation of carbon dioxide by using membrane reactor integrated with water vapor permselective membrane and its analysis", "type" : "article-journal", "volume" : "131" }, "uris" : [ "http://www.mendeley.com/documents/?uuid=254854ec-b476-4a36-bb7f-d70f3510ad47" ] } ], "mendeley" : { "formattedCitation" : "[23]", "plainTextFormattedCitation" : "[23]", "previouslyFormattedCitation" : "[23]" }, "properties" : { "noteIndex" : 0 }, "schema" : "https://github.com/citation-style-language/schema/raw/master/csl-citation.json" }</w:instrText>
      </w:r>
      <w:r>
        <w:fldChar w:fldCharType="separate"/>
      </w:r>
      <w:r>
        <w:rPr>
          <w:noProof/>
        </w:rPr>
        <w:t>[23]</w:t>
      </w:r>
      <w:r>
        <w:fldChar w:fldCharType="end"/>
      </w:r>
      <w:r>
        <w:t xml:space="preserve"> and Lebarbier et al. </w:t>
      </w:r>
      <w:r>
        <w:fldChar w:fldCharType="begin" w:fldLock="1"/>
      </w:r>
      <w:r>
        <w:instrText>ADDIN CSL_CITATION { "citationItems" : [ { "id" : "ITEM-1", "itemData" : { "DOI" : "10.1016/j.apcata.2010.02.008", "ISBN" : "0926-860X", "ISSN" : "0926860X", "abstract" : "The effect of PdZn particle size on the catalytic activity of Pd/ZnO catalysts for the reverse-water-gas-shift (RWGS) reaction was studied. The PdZn particle size was varied by adjusting Pd loading and reducing the catalysts at different temperatures. XRD and IR spectroscopy characterization confirmed the absence of metallic Pd on the catalyst surface. Consequently, the effect of PdZn alloy particle size on the RWGS reaction can be unambiguously studied without the complication of reactions catalyzed by metallic Pd. The results indicated that the turnover frequency increases as the PdZn crystallite size decreases. Interestingly, this structure relationship between PdZn particle size and RWGS activity is consistent with that previously observed for the steam reforming of methanol, i.e., higher CO selectivity on smaller PdZn particles. Thus, RWGS has been identified as a likely potential reaction pathway to undesired CO formation in methanol steam reforming on Pd/ZnO catalysts for hydrogen production.", "author" : [ { "dropping-particle" : "", "family" : "Lebarbier", "given" : "V.", "non-dropping-particle" : "", "parse-names" : false, "suffix" : "" }, { "dropping-particle" : "", "family" : "Dagle", "given" : "R.", "non-dropping-particle" : "", "parse-names" : false, "suffix" : "" }, { "dropping-particle" : "", "family" : "Datye", "given" : "A.", "non-dropping-particle" : "", "parse-names" : false, "suffix" : "" }, { "dropping-particle" : "", "family" : "Wang", "given" : "Y.", "non-dropping-particle" : "", "parse-names" : false, "suffix" : "" } ], "container-title" : "Applied Catalysis A: General", "id" : "ITEM-1", "issue" : "1-2", "issued" : { "date-parts" : [ [ "2010" ] ] }, "page" : "3-6", "title" : "The effect of PdZn particle size on reverse-water-gas-shift reaction", "type" : "article-journal", "volume" : "379" }, "uris" : [ "http://www.mendeley.com/documents/?uuid=d56bf8d1-d44c-4548-90f8-8395cbf42ba1" ] } ], "mendeley" : { "formattedCitation" : "[52]", "plainTextFormattedCitation" : "[52]", "previouslyFormattedCitation" : "[52]" }, "properties" : { "noteIndex" : 0 }, "schema" : "https://github.com/citation-style-language/schema/raw/master/csl-citation.json" }</w:instrText>
      </w:r>
      <w:r>
        <w:fldChar w:fldCharType="separate"/>
      </w:r>
      <w:r>
        <w:rPr>
          <w:noProof/>
        </w:rPr>
        <w:t>[51]</w:t>
      </w:r>
      <w:r>
        <w:fldChar w:fldCharType="end"/>
      </w:r>
      <w:r>
        <w:t>. On the one hand, the activation energy for both reactions decreases slightly with increase in pressure. Conversely, a more noticeable decrease was observed for the Sabatier reaction order with increase in pressure. The parity plots in Figure 4(a</w:t>
      </w:r>
      <w:r>
        <w:rPr>
          <w:rFonts w:cs="Arial"/>
        </w:rPr>
        <w:t>–</w:t>
      </w:r>
      <w:r>
        <w:t xml:space="preserve">c) illustrate a good fit to the experimental data was achieved for the optimal kinetic parameters. In particular, the </w:t>
      </w:r>
      <w:r>
        <w:lastRenderedPageBreak/>
        <w:t>experimental conversion values show good linear relationships with the fitted data with R</w:t>
      </w:r>
      <w:r>
        <w:rPr>
          <w:vertAlign w:val="superscript"/>
        </w:rPr>
        <w:t>2</w:t>
      </w:r>
      <w:r>
        <w:t xml:space="preserve"> &gt; 0.95 for all operative conditions. Furthermore, statistical analyses involving the 95% prediction interval show that the fitted rate expressions predicted the experimental conversions well enough to be used with confidence in the CFD model. </w:t>
      </w:r>
    </w:p>
    <w:p>
      <w:pPr>
        <w:pStyle w:val="Caption"/>
        <w:jc w:val="center"/>
        <w:rPr>
          <w:rFonts w:eastAsiaTheme="minorHAnsi" w:cs="Arial"/>
          <w:b w:val="0"/>
          <w:sz w:val="18"/>
          <w:lang w:val="en-ZA"/>
        </w:rPr>
      </w:pPr>
      <w:r>
        <w:rPr>
          <w:sz w:val="18"/>
        </w:rPr>
        <w:t>Figure 4:</w:t>
      </w:r>
      <w:r>
        <w:rPr>
          <w:b w:val="0"/>
          <w:sz w:val="18"/>
        </w:rPr>
        <w:t xml:space="preserve"> Parity plot showing model-predicted CO</w:t>
      </w:r>
      <w:r>
        <w:rPr>
          <w:b w:val="0"/>
          <w:sz w:val="18"/>
          <w:vertAlign w:val="subscript"/>
        </w:rPr>
        <w:t>2</w:t>
      </w:r>
      <w:r>
        <w:rPr>
          <w:b w:val="0"/>
          <w:sz w:val="18"/>
        </w:rPr>
        <w:t xml:space="preserve"> conversion against experimental CO</w:t>
      </w:r>
      <w:r>
        <w:rPr>
          <w:b w:val="0"/>
          <w:sz w:val="18"/>
          <w:vertAlign w:val="subscript"/>
        </w:rPr>
        <w:t>2</w:t>
      </w:r>
      <w:r>
        <w:rPr>
          <w:b w:val="0"/>
          <w:sz w:val="18"/>
        </w:rPr>
        <w:t xml:space="preserve"> conversion at 95% prediction interval for (a) atmospheric pressure (b) 5 bar and (c) 10 bar</w:t>
      </w:r>
    </w:p>
    <w:p>
      <w:pPr>
        <w:pStyle w:val="Heading2"/>
      </w:pPr>
      <w:r>
        <w:t>3.2 Experimental results</w:t>
      </w:r>
    </w:p>
    <w:p>
      <w:pPr>
        <w:pStyle w:val="Heading3"/>
      </w:pPr>
      <w:r>
        <w:t>3.2.1 Effect of temperature and space velocity</w:t>
      </w:r>
    </w:p>
    <w:p>
      <w:pPr>
        <w:spacing w:line="480" w:lineRule="auto"/>
        <w:ind w:firstLine="720"/>
        <w:rPr>
          <w:lang w:val="en-US" w:eastAsia="en-ZA" w:bidi="en-US"/>
        </w:rPr>
      </w:pPr>
      <w:r>
        <w:rPr>
          <w:lang w:val="en-US" w:eastAsia="en-ZA" w:bidi="en-US"/>
        </w:rPr>
        <w:t>To give perspective to the reported results, thermodynamic equilibrium data was first calculated using minimization of the Gibbs free energy in AspenPlus</w:t>
      </w:r>
      <w:r>
        <w:rPr>
          <w:rFonts w:cs="Arial"/>
          <w:lang w:val="en-US" w:eastAsia="en-ZA" w:bidi="en-US"/>
        </w:rPr>
        <w:t>™</w:t>
      </w:r>
      <w:r>
        <w:rPr>
          <w:lang w:val="en-US" w:eastAsia="en-ZA" w:bidi="en-US"/>
        </w:rPr>
        <w:t xml:space="preserve"> where the product species for both the Sabatier (Eq. 1) and RWGS (Eq. 2) reactions were used as possible products in the equilibrium calculation. Subsequently, the effect of reactor temperature and space velocity on CO</w:t>
      </w:r>
      <w:r>
        <w:rPr>
          <w:vertAlign w:val="subscript"/>
          <w:lang w:val="en-US" w:eastAsia="en-ZA" w:bidi="en-US"/>
        </w:rPr>
        <w:t>2</w:t>
      </w:r>
      <w:r>
        <w:rPr>
          <w:lang w:val="en-US" w:eastAsia="en-ZA" w:bidi="en-US"/>
        </w:rPr>
        <w:t xml:space="preserve"> conversion and CH</w:t>
      </w:r>
      <w:r>
        <w:rPr>
          <w:vertAlign w:val="subscript"/>
          <w:lang w:val="en-US" w:eastAsia="en-ZA" w:bidi="en-US"/>
        </w:rPr>
        <w:t>4</w:t>
      </w:r>
      <w:r>
        <w:rPr>
          <w:lang w:val="en-US" w:eastAsia="en-ZA" w:bidi="en-US"/>
        </w:rPr>
        <w:t xml:space="preserve"> yield is illustrated at atmospheric pressure in Figure 5(a</w:t>
      </w:r>
      <w:r>
        <w:rPr>
          <w:rFonts w:cs="Arial"/>
          <w:lang w:val="en-US" w:eastAsia="en-ZA" w:bidi="en-US"/>
        </w:rPr>
        <w:t xml:space="preserve"> and </w:t>
      </w:r>
      <w:r>
        <w:rPr>
          <w:lang w:val="en-US" w:eastAsia="en-ZA" w:bidi="en-US"/>
        </w:rPr>
        <w:t>b). Generally, CO</w:t>
      </w:r>
      <w:r>
        <w:rPr>
          <w:vertAlign w:val="subscript"/>
          <w:lang w:val="en-US" w:eastAsia="en-ZA" w:bidi="en-US"/>
        </w:rPr>
        <w:t>2</w:t>
      </w:r>
      <w:r>
        <w:rPr>
          <w:lang w:val="en-US" w:eastAsia="en-ZA" w:bidi="en-US"/>
        </w:rPr>
        <w:t xml:space="preserve"> conversion and CH</w:t>
      </w:r>
      <w:r>
        <w:rPr>
          <w:vertAlign w:val="subscript"/>
          <w:lang w:val="en-US" w:eastAsia="en-ZA" w:bidi="en-US"/>
        </w:rPr>
        <w:t>4</w:t>
      </w:r>
      <w:r>
        <w:rPr>
          <w:lang w:val="en-US" w:eastAsia="en-ZA" w:bidi="en-US"/>
        </w:rPr>
        <w:t xml:space="preserve"> yield increased with increasing reactor temperature for all space velocities. For an exothermic reaction, it is expected that the reaction extent decreases with increasing temperature. In this case, however, CO</w:t>
      </w:r>
      <w:r>
        <w:rPr>
          <w:vertAlign w:val="subscript"/>
          <w:lang w:val="en-US" w:eastAsia="en-ZA" w:bidi="en-US"/>
        </w:rPr>
        <w:t>2</w:t>
      </w:r>
      <w:r>
        <w:rPr>
          <w:lang w:val="en-US" w:eastAsia="en-ZA" w:bidi="en-US"/>
        </w:rPr>
        <w:t xml:space="preserve"> conversion increased with temperature up to 400°C. Beyond this temperature, initial modelling results showed that the reversibility became significant in relation to steam reforming of methane (reverse Sabatier reaction) and CO</w:t>
      </w:r>
      <w:r>
        <w:rPr>
          <w:vertAlign w:val="subscript"/>
          <w:lang w:val="en-US" w:eastAsia="en-ZA" w:bidi="en-US"/>
        </w:rPr>
        <w:t>2</w:t>
      </w:r>
      <w:r>
        <w:rPr>
          <w:lang w:val="en-US" w:eastAsia="en-ZA" w:bidi="en-US"/>
        </w:rPr>
        <w:t xml:space="preserve"> conversion decreased. For this reason, reaction temperatures exceeding 425°C were avoided in this investigation. </w:t>
      </w:r>
    </w:p>
    <w:p>
      <w:pPr>
        <w:spacing w:line="480" w:lineRule="auto"/>
        <w:ind w:firstLine="720"/>
        <w:rPr>
          <w:lang w:val="en-US" w:eastAsia="en-ZA" w:bidi="en-US"/>
        </w:rPr>
      </w:pPr>
      <w:r>
        <w:rPr>
          <w:lang w:val="en-US" w:eastAsia="en-ZA" w:bidi="en-US"/>
        </w:rPr>
        <w:t>The highest CO</w:t>
      </w:r>
      <w:r>
        <w:rPr>
          <w:vertAlign w:val="subscript"/>
          <w:lang w:val="en-US" w:eastAsia="en-ZA" w:bidi="en-US"/>
        </w:rPr>
        <w:t>2</w:t>
      </w:r>
      <w:r>
        <w:rPr>
          <w:lang w:val="en-US" w:eastAsia="en-ZA" w:bidi="en-US"/>
        </w:rPr>
        <w:t xml:space="preserve"> conversion (80.4%) was obtained at 400°C and the lowest GHSV of 32.6 L.g</w:t>
      </w:r>
      <w:r>
        <w:rPr>
          <w:vertAlign w:val="subscript"/>
          <w:lang w:val="en-US" w:eastAsia="en-ZA" w:bidi="en-US"/>
        </w:rPr>
        <w:t>cat</w:t>
      </w:r>
      <w:r>
        <w:rPr>
          <w:vertAlign w:val="superscript"/>
          <w:lang w:val="en-US" w:eastAsia="en-ZA" w:bidi="en-US"/>
        </w:rPr>
        <w:t>-1</w:t>
      </w:r>
      <w:r>
        <w:rPr>
          <w:lang w:val="en-US" w:eastAsia="en-ZA" w:bidi="en-US"/>
        </w:rPr>
        <w:t>.h</w:t>
      </w:r>
      <w:r>
        <w:rPr>
          <w:vertAlign w:val="superscript"/>
          <w:lang w:val="en-US" w:eastAsia="en-ZA" w:bidi="en-US"/>
        </w:rPr>
        <w:t>-1</w:t>
      </w:r>
      <w:r>
        <w:rPr>
          <w:lang w:val="en-US" w:eastAsia="en-ZA" w:bidi="en-US"/>
        </w:rPr>
        <w:t>. At lower temperatures (250–350°C), conversions below 50% were achieved for all space velocities investigated. Overall, the CO</w:t>
      </w:r>
      <w:r>
        <w:rPr>
          <w:vertAlign w:val="subscript"/>
          <w:lang w:val="en-US" w:eastAsia="en-ZA" w:bidi="en-US"/>
        </w:rPr>
        <w:t>2</w:t>
      </w:r>
      <w:r>
        <w:rPr>
          <w:lang w:val="en-US" w:eastAsia="en-ZA" w:bidi="en-US"/>
        </w:rPr>
        <w:t xml:space="preserve"> conversions at atmospheric pressure were unrestricted by thermodynamic limitations for all reaction temperatures considered. A similar trend with increasing temperature was observed for CH</w:t>
      </w:r>
      <w:r>
        <w:rPr>
          <w:vertAlign w:val="subscript"/>
          <w:lang w:val="en-US" w:eastAsia="en-ZA" w:bidi="en-US"/>
        </w:rPr>
        <w:t>4</w:t>
      </w:r>
      <w:r>
        <w:rPr>
          <w:lang w:val="en-US" w:eastAsia="en-ZA" w:bidi="en-US"/>
        </w:rPr>
        <w:t xml:space="preserve"> yield (Figure 5b). The highest CH</w:t>
      </w:r>
      <w:r>
        <w:rPr>
          <w:vertAlign w:val="subscript"/>
          <w:lang w:val="en-US" w:eastAsia="en-ZA" w:bidi="en-US"/>
        </w:rPr>
        <w:t>4</w:t>
      </w:r>
      <w:r>
        <w:rPr>
          <w:lang w:val="en-US" w:eastAsia="en-ZA" w:bidi="en-US"/>
        </w:rPr>
        <w:t xml:space="preserve"> yield was recorded for the lowest GHSV at 76.3%. The Sabatier reaction therefore dominated methane product formation, whilst small amounts of CO were produced </w:t>
      </w:r>
      <w:r>
        <w:rPr>
          <w:lang w:val="en-US" w:eastAsia="en-ZA" w:bidi="en-US"/>
        </w:rPr>
        <w:lastRenderedPageBreak/>
        <w:t>by means of the RWGS reaction. For all operational conditions investigated, the CO percentage (d.b) did not exceed 2%.</w:t>
      </w:r>
    </w:p>
    <w:p>
      <w:pPr>
        <w:spacing w:line="480" w:lineRule="auto"/>
        <w:ind w:firstLine="720"/>
        <w:rPr>
          <w:lang w:val="en-US" w:eastAsia="en-ZA" w:bidi="en-US"/>
        </w:rPr>
      </w:pPr>
      <w:r>
        <w:rPr>
          <w:lang w:val="en-US" w:eastAsia="en-ZA" w:bidi="en-US"/>
        </w:rPr>
        <w:t>The effect of GHSV on CO</w:t>
      </w:r>
      <w:r>
        <w:rPr>
          <w:vertAlign w:val="subscript"/>
          <w:lang w:val="en-US" w:eastAsia="en-ZA" w:bidi="en-US"/>
        </w:rPr>
        <w:t>2</w:t>
      </w:r>
      <w:r>
        <w:rPr>
          <w:lang w:val="en-US" w:eastAsia="en-ZA" w:bidi="en-US"/>
        </w:rPr>
        <w:t xml:space="preserve"> conversion is illustrated in Figures 5 and 6. An overall decrease in CO</w:t>
      </w:r>
      <w:r>
        <w:rPr>
          <w:vertAlign w:val="subscript"/>
          <w:lang w:val="en-US" w:eastAsia="en-ZA" w:bidi="en-US"/>
        </w:rPr>
        <w:t>2</w:t>
      </w:r>
      <w:r>
        <w:rPr>
          <w:lang w:val="en-US" w:eastAsia="en-ZA" w:bidi="en-US"/>
        </w:rPr>
        <w:t xml:space="preserve"> conversion was observed with increasing space velocity at atmospheric pressure (Figure 5a). This trend was more noticeable for reactor temperatures exceeding 325°C. With increasing GHSV, the reactants have a shorter contact time with the catalyst so CO</w:t>
      </w:r>
      <w:r>
        <w:rPr>
          <w:vertAlign w:val="subscript"/>
          <w:lang w:val="en-US" w:eastAsia="en-ZA" w:bidi="en-US"/>
        </w:rPr>
        <w:t>2</w:t>
      </w:r>
      <w:r>
        <w:rPr>
          <w:lang w:val="en-US" w:eastAsia="en-ZA" w:bidi="en-US"/>
        </w:rPr>
        <w:t xml:space="preserve"> conversion decreases. </w:t>
      </w:r>
      <w:r>
        <w:rPr>
          <w:rFonts w:eastAsiaTheme="minorEastAsia"/>
        </w:rPr>
        <w:t>The decrease in CO</w:t>
      </w:r>
      <w:r>
        <w:rPr>
          <w:rFonts w:eastAsiaTheme="minorEastAsia"/>
          <w:vertAlign w:val="subscript"/>
        </w:rPr>
        <w:t>2</w:t>
      </w:r>
      <w:r>
        <w:rPr>
          <w:rFonts w:eastAsiaTheme="minorEastAsia"/>
        </w:rPr>
        <w:t xml:space="preserve"> conversion with increase in space velocity was more pronounced at atmospheric pressure than at 10 bar for a specific temperature. For example, a 30% decrease in conversion was observed at atmospheric pressure and 400°C whilst a 10% decrease was observed at 10 bar when the space velocity increased from the lowest to highest (Figure 6).</w:t>
      </w:r>
    </w:p>
    <w:p>
      <w:pPr>
        <w:jc w:val="center"/>
        <w:rPr>
          <w:sz w:val="18"/>
          <w:szCs w:val="18"/>
          <w:lang w:val="en-US" w:eastAsia="en-ZA" w:bidi="en-US"/>
        </w:rPr>
      </w:pPr>
      <w:r>
        <w:rPr>
          <w:b/>
          <w:sz w:val="18"/>
          <w:szCs w:val="18"/>
          <w:lang w:val="en-US" w:eastAsia="en-ZA" w:bidi="en-US"/>
        </w:rPr>
        <w:t>Figure 5:</w:t>
      </w:r>
      <w:r>
        <w:rPr>
          <w:sz w:val="18"/>
          <w:szCs w:val="18"/>
          <w:lang w:val="en-US" w:eastAsia="en-ZA" w:bidi="en-US"/>
        </w:rPr>
        <w:t xml:space="preserve"> Effect of reaction temperature and space velocity on (a) CO</w:t>
      </w:r>
      <w:r>
        <w:rPr>
          <w:sz w:val="18"/>
          <w:szCs w:val="18"/>
          <w:vertAlign w:val="subscript"/>
          <w:lang w:val="en-US" w:eastAsia="en-ZA" w:bidi="en-US"/>
        </w:rPr>
        <w:t>2</w:t>
      </w:r>
      <w:r>
        <w:rPr>
          <w:sz w:val="18"/>
          <w:szCs w:val="18"/>
          <w:lang w:val="en-US" w:eastAsia="en-ZA" w:bidi="en-US"/>
        </w:rPr>
        <w:t xml:space="preserve"> conversion and (b) CH</w:t>
      </w:r>
      <w:r>
        <w:rPr>
          <w:sz w:val="18"/>
          <w:szCs w:val="18"/>
          <w:vertAlign w:val="subscript"/>
          <w:lang w:val="en-US" w:eastAsia="en-ZA" w:bidi="en-US"/>
        </w:rPr>
        <w:t>4</w:t>
      </w:r>
      <w:r>
        <w:rPr>
          <w:sz w:val="18"/>
          <w:szCs w:val="18"/>
          <w:lang w:val="en-US" w:eastAsia="en-ZA" w:bidi="en-US"/>
        </w:rPr>
        <w:t xml:space="preserve"> yield at atmospheric pressure</w:t>
      </w:r>
    </w:p>
    <w:p>
      <w:pPr>
        <w:pStyle w:val="Heading3"/>
      </w:pPr>
      <w:r>
        <w:t xml:space="preserve">3.2.2 Effect of pressure </w:t>
      </w:r>
    </w:p>
    <w:p>
      <w:pPr>
        <w:spacing w:line="480" w:lineRule="auto"/>
        <w:ind w:firstLine="720"/>
        <w:rPr>
          <w:lang w:val="en-US" w:eastAsia="en-ZA" w:bidi="en-US"/>
        </w:rPr>
      </w:pPr>
      <w:r>
        <w:rPr>
          <w:lang w:val="en-US" w:eastAsia="en-ZA" w:bidi="en-US"/>
        </w:rPr>
        <w:t>An increase in reactor pressure (atmospheric to 10 bar) increased the equilibrium conversion (85.3% to 94.1% at 400°C) to favor product formation. For higher pressure operation, therefore, the CO</w:t>
      </w:r>
      <w:r>
        <w:rPr>
          <w:vertAlign w:val="subscript"/>
          <w:lang w:val="en-US" w:eastAsia="en-ZA" w:bidi="en-US"/>
        </w:rPr>
        <w:t>2</w:t>
      </w:r>
      <w:r>
        <w:rPr>
          <w:lang w:val="en-US" w:eastAsia="en-ZA" w:bidi="en-US"/>
        </w:rPr>
        <w:t xml:space="preserve"> conversion increased significantly with increase in reactor temperature (Figure 6a</w:t>
      </w:r>
      <w:r>
        <w:rPr>
          <w:rFonts w:cs="Arial"/>
          <w:lang w:val="en-US" w:eastAsia="en-ZA" w:bidi="en-US"/>
        </w:rPr>
        <w:t>–</w:t>
      </w:r>
      <w:r>
        <w:rPr>
          <w:lang w:val="en-US" w:eastAsia="en-ZA" w:bidi="en-US"/>
        </w:rPr>
        <w:t>b). For instance, the CO</w:t>
      </w:r>
      <w:r>
        <w:rPr>
          <w:vertAlign w:val="subscript"/>
          <w:lang w:val="en-US" w:eastAsia="en-ZA" w:bidi="en-US"/>
        </w:rPr>
        <w:t>2</w:t>
      </w:r>
      <w:r>
        <w:rPr>
          <w:lang w:val="en-US" w:eastAsia="en-ZA" w:bidi="en-US"/>
        </w:rPr>
        <w:t xml:space="preserve"> conversion at the lowest space velocity and 400°C increased from 80.4% (atmospheric pressure) to 90.4% (5 bar) to 94.5% (10 bar). Also, the CO</w:t>
      </w:r>
      <w:r>
        <w:rPr>
          <w:vertAlign w:val="subscript"/>
          <w:lang w:val="en-US" w:eastAsia="en-ZA" w:bidi="en-US"/>
        </w:rPr>
        <w:t>2</w:t>
      </w:r>
      <w:r>
        <w:rPr>
          <w:lang w:val="en-US" w:eastAsia="en-ZA" w:bidi="en-US"/>
        </w:rPr>
        <w:t xml:space="preserve"> conversion and CH</w:t>
      </w:r>
      <w:r>
        <w:rPr>
          <w:vertAlign w:val="subscript"/>
          <w:lang w:val="en-US" w:eastAsia="en-ZA" w:bidi="en-US"/>
        </w:rPr>
        <w:t>4</w:t>
      </w:r>
      <w:r>
        <w:rPr>
          <w:lang w:val="en-US" w:eastAsia="en-ZA" w:bidi="en-US"/>
        </w:rPr>
        <w:t xml:space="preserve"> yield were found to be similar at higher temperatures (&gt;325°C) and 10 bar leading to the conclusion that all the CO</w:t>
      </w:r>
      <w:r>
        <w:rPr>
          <w:vertAlign w:val="subscript"/>
          <w:lang w:val="en-US" w:eastAsia="en-ZA" w:bidi="en-US"/>
        </w:rPr>
        <w:t>2</w:t>
      </w:r>
      <w:r>
        <w:rPr>
          <w:lang w:val="en-US" w:eastAsia="en-ZA" w:bidi="en-US"/>
        </w:rPr>
        <w:t xml:space="preserve"> was converted to CH</w:t>
      </w:r>
      <w:r>
        <w:rPr>
          <w:vertAlign w:val="subscript"/>
          <w:lang w:val="en-US" w:eastAsia="en-ZA" w:bidi="en-US"/>
        </w:rPr>
        <w:t>4</w:t>
      </w:r>
      <w:r>
        <w:rPr>
          <w:lang w:val="en-US" w:eastAsia="en-ZA" w:bidi="en-US"/>
        </w:rPr>
        <w:t>. It was observed that CO</w:t>
      </w:r>
      <w:r>
        <w:rPr>
          <w:vertAlign w:val="subscript"/>
          <w:lang w:val="en-US" w:eastAsia="en-ZA" w:bidi="en-US"/>
        </w:rPr>
        <w:t>2</w:t>
      </w:r>
      <w:r>
        <w:rPr>
          <w:lang w:val="en-US" w:eastAsia="en-ZA" w:bidi="en-US"/>
        </w:rPr>
        <w:t xml:space="preserve"> conversion became thermodynamically limited for the lowest space velocity (Figure 6a) for temperatures exceeding 350°C (equilibrium conversion at 10 bar and 350°C was 96.5%). On the other hand, the CO</w:t>
      </w:r>
      <w:r>
        <w:rPr>
          <w:vertAlign w:val="subscript"/>
          <w:lang w:val="en-US" w:eastAsia="en-ZA" w:bidi="en-US"/>
        </w:rPr>
        <w:t>2</w:t>
      </w:r>
      <w:r>
        <w:rPr>
          <w:lang w:val="en-US" w:eastAsia="en-ZA" w:bidi="en-US"/>
        </w:rPr>
        <w:t xml:space="preserve"> conversion was practically the same for 5 bar (83.4%) and 10 bar (83.6%) for operation at 400°C and the highest space velocity (Figure 6b). At these temperature and flow conditions, it would be recommended to </w:t>
      </w:r>
      <w:r>
        <w:rPr>
          <w:lang w:val="en-US" w:eastAsia="en-ZA" w:bidi="en-US"/>
        </w:rPr>
        <w:lastRenderedPageBreak/>
        <w:t xml:space="preserve">operate the reactor at 5 bar owing to the possible savings in compression cost re the balance-of-plant. </w:t>
      </w:r>
    </w:p>
    <w:p>
      <w:pPr>
        <w:pStyle w:val="Caption"/>
        <w:jc w:val="center"/>
        <w:rPr>
          <w:b w:val="0"/>
          <w:sz w:val="18"/>
          <w:lang w:val="en-US" w:eastAsia="en-ZA" w:bidi="en-US"/>
        </w:rPr>
      </w:pPr>
      <w:r>
        <w:rPr>
          <w:sz w:val="18"/>
        </w:rPr>
        <w:t xml:space="preserve">Figure 6: </w:t>
      </w:r>
      <w:r>
        <w:rPr>
          <w:b w:val="0"/>
          <w:sz w:val="18"/>
        </w:rPr>
        <w:t>Effect of reactor pressure on CO</w:t>
      </w:r>
      <w:r>
        <w:rPr>
          <w:b w:val="0"/>
          <w:sz w:val="18"/>
          <w:vertAlign w:val="subscript"/>
        </w:rPr>
        <w:t>2</w:t>
      </w:r>
      <w:r>
        <w:rPr>
          <w:b w:val="0"/>
          <w:sz w:val="18"/>
        </w:rPr>
        <w:t xml:space="preserve"> conversion as a function of temperature at (a) </w:t>
      </w:r>
      <w:r>
        <w:rPr>
          <w:b w:val="0"/>
          <w:sz w:val="18"/>
          <w:lang w:val="en-US" w:eastAsia="en-ZA" w:bidi="en-US"/>
        </w:rPr>
        <w:t>32.6 L.g</w:t>
      </w:r>
      <w:r>
        <w:rPr>
          <w:b w:val="0"/>
          <w:sz w:val="18"/>
          <w:vertAlign w:val="subscript"/>
          <w:lang w:val="en-US" w:eastAsia="en-ZA" w:bidi="en-US"/>
        </w:rPr>
        <w:t>cat</w:t>
      </w:r>
      <w:r>
        <w:rPr>
          <w:b w:val="0"/>
          <w:sz w:val="18"/>
          <w:vertAlign w:val="superscript"/>
          <w:lang w:val="en-US" w:eastAsia="en-ZA" w:bidi="en-US"/>
        </w:rPr>
        <w:t>-1</w:t>
      </w:r>
      <w:r>
        <w:rPr>
          <w:b w:val="0"/>
          <w:sz w:val="18"/>
          <w:lang w:val="en-US" w:eastAsia="en-ZA" w:bidi="en-US"/>
        </w:rPr>
        <w:t>.h</w:t>
      </w:r>
      <w:r>
        <w:rPr>
          <w:b w:val="0"/>
          <w:sz w:val="18"/>
          <w:vertAlign w:val="superscript"/>
          <w:lang w:val="en-US" w:eastAsia="en-ZA" w:bidi="en-US"/>
        </w:rPr>
        <w:t>-1</w:t>
      </w:r>
      <w:r>
        <w:rPr>
          <w:b w:val="0"/>
          <w:sz w:val="18"/>
          <w:szCs w:val="18"/>
        </w:rPr>
        <w:t xml:space="preserve"> and </w:t>
      </w:r>
      <w:r>
        <w:rPr>
          <w:b w:val="0"/>
          <w:sz w:val="18"/>
        </w:rPr>
        <w:t xml:space="preserve">(b) </w:t>
      </w:r>
      <w:r>
        <w:rPr>
          <w:b w:val="0"/>
          <w:sz w:val="18"/>
          <w:lang w:val="en-US" w:eastAsia="en-ZA" w:bidi="en-US"/>
        </w:rPr>
        <w:t>97.8 L.g</w:t>
      </w:r>
      <w:r>
        <w:rPr>
          <w:b w:val="0"/>
          <w:sz w:val="18"/>
          <w:vertAlign w:val="subscript"/>
          <w:lang w:val="en-US" w:eastAsia="en-ZA" w:bidi="en-US"/>
        </w:rPr>
        <w:t>cat</w:t>
      </w:r>
      <w:r>
        <w:rPr>
          <w:b w:val="0"/>
          <w:sz w:val="18"/>
          <w:vertAlign w:val="superscript"/>
          <w:lang w:val="en-US" w:eastAsia="en-ZA" w:bidi="en-US"/>
        </w:rPr>
        <w:t>-1</w:t>
      </w:r>
      <w:r>
        <w:rPr>
          <w:b w:val="0"/>
          <w:sz w:val="18"/>
          <w:lang w:val="en-US" w:eastAsia="en-ZA" w:bidi="en-US"/>
        </w:rPr>
        <w:t>.h</w:t>
      </w:r>
      <w:r>
        <w:rPr>
          <w:b w:val="0"/>
          <w:sz w:val="18"/>
          <w:vertAlign w:val="superscript"/>
          <w:lang w:val="en-US" w:eastAsia="en-ZA" w:bidi="en-US"/>
        </w:rPr>
        <w:t>-1</w:t>
      </w:r>
    </w:p>
    <w:p>
      <w:pPr>
        <w:pStyle w:val="Heading3"/>
        <w:rPr>
          <w:lang w:val="en-US" w:eastAsia="en-ZA" w:bidi="en-US"/>
        </w:rPr>
      </w:pPr>
      <w:r>
        <w:rPr>
          <w:lang w:val="en-US" w:eastAsia="en-ZA" w:bidi="en-US"/>
        </w:rPr>
        <w:t xml:space="preserve">3.2.3 Performance stability </w:t>
      </w:r>
    </w:p>
    <w:p>
      <w:pPr>
        <w:spacing w:line="480" w:lineRule="auto"/>
        <w:ind w:firstLine="720"/>
        <w:rPr>
          <w:lang w:val="en-US" w:eastAsia="en-ZA" w:bidi="en-US"/>
        </w:rPr>
      </w:pPr>
      <w:r>
        <w:rPr>
          <w:lang w:val="en-US" w:eastAsia="en-ZA" w:bidi="en-US"/>
        </w:rPr>
        <w:t>The performance durability test (Figure 7) shows that CO</w:t>
      </w:r>
      <w:r>
        <w:rPr>
          <w:vertAlign w:val="subscript"/>
          <w:lang w:val="en-US" w:eastAsia="en-ZA" w:bidi="en-US"/>
        </w:rPr>
        <w:t>2</w:t>
      </w:r>
      <w:r>
        <w:rPr>
          <w:lang w:val="en-US" w:eastAsia="en-ZA" w:bidi="en-US"/>
        </w:rPr>
        <w:t xml:space="preserve"> conversion remained stable (86.04 </w:t>
      </w:r>
      <w:r>
        <w:t>± 3%)</w:t>
      </w:r>
      <w:r>
        <w:rPr>
          <w:lang w:val="en-US" w:eastAsia="en-ZA" w:bidi="en-US"/>
        </w:rPr>
        <w:t xml:space="preserve"> throughout the 150-h which the reactor endured under demanding reactor conditions (</w:t>
      </w:r>
      <w:r>
        <w:t>375°C, 10 bar and 65.2 L.g</w:t>
      </w:r>
      <w:r>
        <w:rPr>
          <w:vertAlign w:val="subscript"/>
        </w:rPr>
        <w:t>cat</w:t>
      </w:r>
      <w:r>
        <w:rPr>
          <w:vertAlign w:val="superscript"/>
        </w:rPr>
        <w:t>-1</w:t>
      </w:r>
      <w:r>
        <w:t>.h</w:t>
      </w:r>
      <w:r>
        <w:rPr>
          <w:vertAlign w:val="superscript"/>
        </w:rPr>
        <w:t>-1</w:t>
      </w:r>
      <w:r>
        <w:t>)</w:t>
      </w:r>
      <w:r>
        <w:rPr>
          <w:lang w:val="en-US" w:eastAsia="en-ZA" w:bidi="en-US"/>
        </w:rPr>
        <w:t xml:space="preserve">. These results suggest no detectible deactivation of the catalyst occurred. Overall, the reactor integrity and its long-term performance were not affected by daily reactor start-up and shutdown cycles at which the reactor was exposed prior to the 150-h continuous time-on-stream. The microchannel reactor can therefore withstand dynamic operation required for power-to-gas applications. </w:t>
      </w:r>
    </w:p>
    <w:p>
      <w:pPr>
        <w:jc w:val="center"/>
        <w:rPr>
          <w:sz w:val="18"/>
          <w:vertAlign w:val="superscript"/>
          <w:lang w:val="en-US" w:eastAsia="en-ZA" w:bidi="en-US"/>
        </w:rPr>
      </w:pPr>
      <w:r>
        <w:rPr>
          <w:b/>
          <w:sz w:val="18"/>
          <w:lang w:val="en-US" w:eastAsia="en-ZA" w:bidi="en-US"/>
        </w:rPr>
        <w:t>Figure 7:</w:t>
      </w:r>
      <w:r>
        <w:rPr>
          <w:sz w:val="18"/>
          <w:lang w:val="en-US" w:eastAsia="en-ZA" w:bidi="en-US"/>
        </w:rPr>
        <w:t xml:space="preserve"> Performance stability of microchannel reactor showing CO</w:t>
      </w:r>
      <w:r>
        <w:rPr>
          <w:sz w:val="18"/>
          <w:vertAlign w:val="subscript"/>
          <w:lang w:val="en-US" w:eastAsia="en-ZA" w:bidi="en-US"/>
        </w:rPr>
        <w:t>2</w:t>
      </w:r>
      <w:r>
        <w:rPr>
          <w:sz w:val="18"/>
          <w:lang w:val="en-US" w:eastAsia="en-ZA" w:bidi="en-US"/>
        </w:rPr>
        <w:t xml:space="preserve"> conversion vs. time-on-stream. Experimental conditions: Pressure = 10 bar, Temperature = 375°C and GHSV = 65.2 L.g</w:t>
      </w:r>
      <w:r>
        <w:rPr>
          <w:sz w:val="18"/>
          <w:vertAlign w:val="subscript"/>
          <w:lang w:val="en-US" w:eastAsia="en-ZA" w:bidi="en-US"/>
        </w:rPr>
        <w:t>cat</w:t>
      </w:r>
      <w:r>
        <w:rPr>
          <w:sz w:val="18"/>
          <w:vertAlign w:val="superscript"/>
          <w:lang w:val="en-US" w:eastAsia="en-ZA" w:bidi="en-US"/>
        </w:rPr>
        <w:t>-1</w:t>
      </w:r>
      <w:r>
        <w:rPr>
          <w:sz w:val="18"/>
          <w:lang w:val="en-US" w:eastAsia="en-ZA" w:bidi="en-US"/>
        </w:rPr>
        <w:t>.h</w:t>
      </w:r>
      <w:r>
        <w:rPr>
          <w:sz w:val="18"/>
          <w:vertAlign w:val="superscript"/>
          <w:lang w:val="en-US" w:eastAsia="en-ZA" w:bidi="en-US"/>
        </w:rPr>
        <w:t>-1</w:t>
      </w:r>
    </w:p>
    <w:p>
      <w:pPr>
        <w:pStyle w:val="Heading3"/>
      </w:pPr>
      <w:r>
        <w:t xml:space="preserve">3.2.4 Recommended operating conditions </w:t>
      </w:r>
    </w:p>
    <w:p>
      <w:pPr>
        <w:spacing w:before="240" w:line="480" w:lineRule="auto"/>
        <w:ind w:firstLine="720"/>
        <w:rPr>
          <w:lang w:val="en-US" w:eastAsia="en-ZA" w:bidi="en-US"/>
        </w:rPr>
      </w:pPr>
      <w:r>
        <w:rPr>
          <w:lang w:val="en-US" w:eastAsia="en-ZA" w:bidi="en-US"/>
        </w:rPr>
        <w:t>Generally, the microchannel reactor showed adequate performance at high temperature, high pressure operating conditions. The recommended operating point needs to be selected as that at which maximum methane throughput is produced. From the results, it is apparent that the maximum CO</w:t>
      </w:r>
      <w:r>
        <w:rPr>
          <w:vertAlign w:val="subscript"/>
          <w:lang w:val="en-US" w:eastAsia="en-ZA" w:bidi="en-US"/>
        </w:rPr>
        <w:t>2</w:t>
      </w:r>
      <w:r>
        <w:rPr>
          <w:lang w:val="en-US" w:eastAsia="en-ZA" w:bidi="en-US"/>
        </w:rPr>
        <w:t xml:space="preserve"> conversion was achieved at 375°C and 10 bar for the lowest space velocity investigated </w:t>
      </w:r>
      <w:r>
        <w:rPr>
          <w:rFonts w:eastAsiaTheme="minorEastAsia"/>
        </w:rPr>
        <w:t xml:space="preserve">(32.6 </w:t>
      </w:r>
      <w:r>
        <w:rPr>
          <w:lang w:val="en-US" w:eastAsia="en-ZA" w:bidi="en-US"/>
        </w:rPr>
        <w:t>L.g</w:t>
      </w:r>
      <w:r>
        <w:rPr>
          <w:vertAlign w:val="subscript"/>
          <w:lang w:val="en-US" w:eastAsia="en-ZA" w:bidi="en-US"/>
        </w:rPr>
        <w:t>cat</w:t>
      </w:r>
      <w:r>
        <w:rPr>
          <w:vertAlign w:val="superscript"/>
          <w:lang w:val="en-US" w:eastAsia="en-ZA" w:bidi="en-US"/>
        </w:rPr>
        <w:t>-1</w:t>
      </w:r>
      <w:r>
        <w:rPr>
          <w:lang w:val="en-US" w:eastAsia="en-ZA" w:bidi="en-US"/>
        </w:rPr>
        <w:t>.h</w:t>
      </w:r>
      <w:r>
        <w:rPr>
          <w:vertAlign w:val="superscript"/>
          <w:lang w:val="en-US" w:eastAsia="en-ZA" w:bidi="en-US"/>
        </w:rPr>
        <w:t>-1</w:t>
      </w:r>
      <w:r>
        <w:rPr>
          <w:lang w:val="en-US" w:eastAsia="en-ZA" w:bidi="en-US"/>
        </w:rPr>
        <w:t>). However, a specific CH</w:t>
      </w:r>
      <w:r>
        <w:rPr>
          <w:vertAlign w:val="subscript"/>
          <w:lang w:val="en-US" w:eastAsia="en-ZA" w:bidi="en-US"/>
        </w:rPr>
        <w:t>4</w:t>
      </w:r>
      <w:r>
        <w:rPr>
          <w:lang w:val="en-US" w:eastAsia="en-ZA" w:bidi="en-US"/>
        </w:rPr>
        <w:t xml:space="preserve"> production rate of 5.91</w:t>
      </w:r>
      <w:r>
        <w:rPr>
          <w:rFonts w:eastAsiaTheme="minorEastAsia"/>
        </w:rPr>
        <w:t xml:space="preserve"> </w:t>
      </w:r>
      <w:r>
        <w:rPr>
          <w:lang w:val="en-US" w:eastAsia="en-ZA" w:bidi="en-US"/>
        </w:rPr>
        <w:t>L.g</w:t>
      </w:r>
      <w:r>
        <w:rPr>
          <w:vertAlign w:val="subscript"/>
          <w:lang w:val="en-US" w:eastAsia="en-ZA" w:bidi="en-US"/>
        </w:rPr>
        <w:t>cat</w:t>
      </w:r>
      <w:r>
        <w:rPr>
          <w:vertAlign w:val="superscript"/>
          <w:lang w:val="en-US" w:eastAsia="en-ZA" w:bidi="en-US"/>
        </w:rPr>
        <w:t>-1</w:t>
      </w:r>
      <w:r>
        <w:rPr>
          <w:lang w:val="en-US" w:eastAsia="en-ZA" w:bidi="en-US"/>
        </w:rPr>
        <w:t>.h</w:t>
      </w:r>
      <w:r>
        <w:rPr>
          <w:vertAlign w:val="superscript"/>
          <w:lang w:val="en-US" w:eastAsia="en-ZA" w:bidi="en-US"/>
        </w:rPr>
        <w:t>-1</w:t>
      </w:r>
      <w:r>
        <w:rPr>
          <w:lang w:val="en-US" w:eastAsia="en-ZA" w:bidi="en-US"/>
        </w:rPr>
        <w:t xml:space="preserve"> was achieved, which is somewhat low. Therefore, high space velocities are essential to maximize the CH</w:t>
      </w:r>
      <w:r>
        <w:rPr>
          <w:vertAlign w:val="subscript"/>
          <w:lang w:val="en-US" w:eastAsia="en-ZA" w:bidi="en-US"/>
        </w:rPr>
        <w:t>4</w:t>
      </w:r>
      <w:r>
        <w:rPr>
          <w:lang w:val="en-US" w:eastAsia="en-ZA" w:bidi="en-US"/>
        </w:rPr>
        <w:t xml:space="preserve"> production rate necessary to implement P2G at a reasonable scale. At the highest space velocity </w:t>
      </w:r>
      <w:r>
        <w:rPr>
          <w:rFonts w:eastAsiaTheme="minorEastAsia"/>
        </w:rPr>
        <w:t xml:space="preserve">(97.8 </w:t>
      </w:r>
      <w:r>
        <w:rPr>
          <w:lang w:val="en-US" w:eastAsia="en-ZA" w:bidi="en-US"/>
        </w:rPr>
        <w:t>L.g</w:t>
      </w:r>
      <w:r>
        <w:rPr>
          <w:vertAlign w:val="subscript"/>
          <w:lang w:val="en-US" w:eastAsia="en-ZA" w:bidi="en-US"/>
        </w:rPr>
        <w:t>cat</w:t>
      </w:r>
      <w:r>
        <w:rPr>
          <w:vertAlign w:val="superscript"/>
          <w:lang w:val="en-US" w:eastAsia="en-ZA" w:bidi="en-US"/>
        </w:rPr>
        <w:t>-1</w:t>
      </w:r>
      <w:r>
        <w:rPr>
          <w:lang w:val="en-US" w:eastAsia="en-ZA" w:bidi="en-US"/>
        </w:rPr>
        <w:t>.h</w:t>
      </w:r>
      <w:r>
        <w:rPr>
          <w:vertAlign w:val="superscript"/>
          <w:lang w:val="en-US" w:eastAsia="en-ZA" w:bidi="en-US"/>
        </w:rPr>
        <w:t>-1</w:t>
      </w:r>
      <w:r>
        <w:rPr>
          <w:lang w:val="en-US" w:eastAsia="en-ZA" w:bidi="en-US"/>
        </w:rPr>
        <w:t>) and highest temperature, the CO</w:t>
      </w:r>
      <w:r>
        <w:rPr>
          <w:vertAlign w:val="subscript"/>
          <w:lang w:val="en-US" w:eastAsia="en-ZA" w:bidi="en-US"/>
        </w:rPr>
        <w:t>2</w:t>
      </w:r>
      <w:r>
        <w:rPr>
          <w:lang w:val="en-US" w:eastAsia="en-ZA" w:bidi="en-US"/>
        </w:rPr>
        <w:t xml:space="preserve"> conversion for 5 bar and 10 bar is practically the same. Subsequently, the reactor will be more efficient operating at 5 bar pressure to reduce on operational expenditure relating to gas compression. In view of this, the recommended operating point for maximized CH</w:t>
      </w:r>
      <w:r>
        <w:rPr>
          <w:vertAlign w:val="subscript"/>
          <w:lang w:val="en-US" w:eastAsia="en-ZA" w:bidi="en-US"/>
        </w:rPr>
        <w:t>4</w:t>
      </w:r>
      <w:r>
        <w:rPr>
          <w:lang w:val="en-US" w:eastAsia="en-ZA" w:bidi="en-US"/>
        </w:rPr>
        <w:t xml:space="preserve"> production rate are summarized in Table 3. In terms of potential application, the product gas </w:t>
      </w:r>
      <w:r>
        <w:rPr>
          <w:lang w:val="en-US" w:eastAsia="en-ZA" w:bidi="en-US"/>
        </w:rPr>
        <w:lastRenderedPageBreak/>
        <w:t>has the same methane content as that normally produced in biogas plants (anaerobic digesters). The advantage of the product gas produced in this instance however resides in the low CO</w:t>
      </w:r>
      <w:r>
        <w:rPr>
          <w:vertAlign w:val="subscript"/>
          <w:lang w:val="en-US" w:eastAsia="en-ZA" w:bidi="en-US"/>
        </w:rPr>
        <w:t>2</w:t>
      </w:r>
      <w:r>
        <w:rPr>
          <w:lang w:val="en-US" w:eastAsia="en-ZA" w:bidi="en-US"/>
        </w:rPr>
        <w:t xml:space="preserve"> content (8% vs. 55% </w:t>
      </w:r>
      <w:r>
        <w:rPr>
          <w:lang w:val="en-US" w:eastAsia="en-ZA" w:bidi="en-US"/>
        </w:rPr>
        <w:fldChar w:fldCharType="begin" w:fldLock="1"/>
      </w:r>
      <w:r>
        <w:rPr>
          <w:lang w:val="en-US" w:eastAsia="en-ZA" w:bidi="en-US"/>
        </w:rPr>
        <w:instrText>ADDIN CSL_CITATION { "citationItems" : [ { "id" : "ITEM-1", "itemData" : { "DOI" : "10.1016/j.energy.2010.04.014", "ISBN" : "0360-5442", "ISSN" : "03605442", "abstract" : "Biogas from anaerobic digestion of biological wastes is a renewable energy resource. It has been used to provide heat, shaft power and electricity. Typical biogas contains 50-65% methane (CH4), 30-45% carbon dioxide (CO2), moisture and traces of hydrogen sulphide (H2S). Presence of CO2 and H2S in biogas affects engine performance adversely. Reducing CO2 and H2S content will significantly improve quality of biogas. In this work, a method for biogas scrubbing and CH4 enrichment is presented. Chemical absorption of CO2 and H2S by aqueous solutions in a packed column was experimentally investigated. The aqueous solutions employed were sodium hydroxide (NaOH), calcium hydroxide (Ca(OH)2) and mono-ethanolamine (MEA). Liquid solvents were circulated through the column, contacting the biogas in countercurrent flow. Absorption characteristics were examined. Test results revealed that the aqueous solutions used were effective in reacting with CO2 in biogas (over 90% removal efficiency), creating CH4 enriched fuel. H2S was removed to below the detection limit. Absorption capability was transient in nature. Saturation was reached in about 50min for Ca(OH)2, and 100min for NaOH and MEA, respectively. With regular replacement or regeneration of used solutions, upgraded biogas can be maintained. This technique proved to be promising in upgrading biogas quality. ?? 2010 Elsevier Ltd.", "author" : [ { "dropping-particle" : "", "family" : "Tippayawong", "given" : "N.", "non-dropping-particle" : "", "parse-names" : false, "suffix" : "" }, { "dropping-particle" : "", "family" : "Thanompongchart", "given" : "P.", "non-dropping-particle" : "", "parse-names" : false, "suffix" : "" } ], "container-title" : "Energy", "id" : "ITEM-1", "issue" : "12", "issued" : { "date-parts" : [ [ "2010" ] ] }, "page" : "4531-4535", "title" : "Biogas quality upgrade by simultaneous removal of CO2 and H2S in a packed column reactor", "type" : "article-journal", "volume" : "35" }, "uris" : [ "http://www.mendeley.com/documents/?uuid=acbc7c0f-8bc2-4596-bcc7-e9c9934450d4" ] } ], "mendeley" : { "formattedCitation" : "[53]", "plainTextFormattedCitation" : "[53]", "previouslyFormattedCitation" : "[53]" }, "properties" : { "noteIndex" : 0 }, "schema" : "https://github.com/citation-style-language/schema/raw/master/csl-citation.json" }</w:instrText>
      </w:r>
      <w:r>
        <w:rPr>
          <w:lang w:val="en-US" w:eastAsia="en-ZA" w:bidi="en-US"/>
        </w:rPr>
        <w:fldChar w:fldCharType="separate"/>
      </w:r>
      <w:r>
        <w:rPr>
          <w:noProof/>
          <w:lang w:val="en-US" w:eastAsia="en-ZA" w:bidi="en-US"/>
        </w:rPr>
        <w:t>[52]</w:t>
      </w:r>
      <w:r>
        <w:rPr>
          <w:lang w:val="en-US" w:eastAsia="en-ZA" w:bidi="en-US"/>
        </w:rPr>
        <w:fldChar w:fldCharType="end"/>
      </w:r>
      <w:r>
        <w:rPr>
          <w:lang w:val="en-US" w:eastAsia="en-ZA" w:bidi="en-US"/>
        </w:rPr>
        <w:t>) and absolutely no sulphur compounds making it attractive for direct application. The excess hydrogen can be separated using a hydrogen-selective membrane process and recycled to add-up to the fresh renewable hydrogen. This may also reduce the fresh hydrogen requirement for the methanation process in a realistic power-to-gas application. Given the excess hydrogen in the product stream, it is rather appealing to operate the reactor at a lower H</w:t>
      </w:r>
      <w:r>
        <w:rPr>
          <w:vertAlign w:val="subscript"/>
          <w:lang w:val="en-US" w:eastAsia="en-ZA" w:bidi="en-US"/>
        </w:rPr>
        <w:t>2</w:t>
      </w:r>
      <w:r>
        <w:rPr>
          <w:lang w:val="en-US" w:eastAsia="en-ZA" w:bidi="en-US"/>
        </w:rPr>
        <w:t>/CO</w:t>
      </w:r>
      <w:r>
        <w:rPr>
          <w:vertAlign w:val="subscript"/>
          <w:lang w:val="en-US" w:eastAsia="en-ZA" w:bidi="en-US"/>
        </w:rPr>
        <w:t>2</w:t>
      </w:r>
      <w:r>
        <w:rPr>
          <w:lang w:val="en-US" w:eastAsia="en-ZA" w:bidi="en-US"/>
        </w:rPr>
        <w:t xml:space="preserve"> ratio. However, modelling results showed that the CO</w:t>
      </w:r>
      <w:r>
        <w:rPr>
          <w:vertAlign w:val="subscript"/>
          <w:lang w:val="en-US" w:eastAsia="en-ZA" w:bidi="en-US"/>
        </w:rPr>
        <w:t>2</w:t>
      </w:r>
      <w:r>
        <w:rPr>
          <w:lang w:val="en-US" w:eastAsia="en-ZA" w:bidi="en-US"/>
        </w:rPr>
        <w:t xml:space="preserve"> conversion decreased by 10% when the H</w:t>
      </w:r>
      <w:r>
        <w:rPr>
          <w:vertAlign w:val="subscript"/>
          <w:lang w:val="en-US" w:eastAsia="en-ZA" w:bidi="en-US"/>
        </w:rPr>
        <w:t>2</w:t>
      </w:r>
      <w:r>
        <w:rPr>
          <w:lang w:val="en-US" w:eastAsia="en-ZA" w:bidi="en-US"/>
        </w:rPr>
        <w:t>:CO</w:t>
      </w:r>
      <w:r>
        <w:rPr>
          <w:vertAlign w:val="subscript"/>
          <w:lang w:val="en-US" w:eastAsia="en-ZA" w:bidi="en-US"/>
        </w:rPr>
        <w:t>2</w:t>
      </w:r>
      <w:r>
        <w:rPr>
          <w:lang w:val="en-US" w:eastAsia="en-ZA" w:bidi="en-US"/>
        </w:rPr>
        <w:t xml:space="preserve"> ratio was lowered to 3:1 at 10 bar, 400</w:t>
      </w:r>
      <w:r>
        <w:rPr>
          <w:rFonts w:cs="Arial"/>
          <w:lang w:val="en-US" w:eastAsia="en-ZA" w:bidi="en-US"/>
        </w:rPr>
        <w:t>°</w:t>
      </w:r>
      <w:r>
        <w:rPr>
          <w:lang w:val="en-US" w:eastAsia="en-ZA" w:bidi="en-US"/>
        </w:rPr>
        <w:t>C, and 97.8 L.g</w:t>
      </w:r>
      <w:r>
        <w:rPr>
          <w:vertAlign w:val="subscript"/>
          <w:lang w:val="en-US" w:eastAsia="en-ZA" w:bidi="en-US"/>
        </w:rPr>
        <w:t>cat</w:t>
      </w:r>
      <w:r>
        <w:rPr>
          <w:vertAlign w:val="superscript"/>
          <w:lang w:val="en-US" w:eastAsia="en-ZA" w:bidi="en-US"/>
        </w:rPr>
        <w:t>-1</w:t>
      </w:r>
      <w:r>
        <w:rPr>
          <w:lang w:val="en-US" w:eastAsia="en-ZA" w:bidi="en-US"/>
        </w:rPr>
        <w:t>.h</w:t>
      </w:r>
      <w:r>
        <w:rPr>
          <w:vertAlign w:val="superscript"/>
          <w:lang w:val="en-US" w:eastAsia="en-ZA" w:bidi="en-US"/>
        </w:rPr>
        <w:t>-1</w:t>
      </w:r>
      <w:r>
        <w:rPr>
          <w:lang w:val="en-US" w:eastAsia="en-ZA" w:bidi="en-US"/>
        </w:rPr>
        <w:t xml:space="preserve">. Hoekman et al. </w:t>
      </w:r>
      <w:r>
        <w:rPr>
          <w:lang w:val="en-US" w:eastAsia="en-ZA" w:bidi="en-US"/>
        </w:rPr>
        <w:fldChar w:fldCharType="begin" w:fldLock="1"/>
      </w:r>
      <w:r>
        <w:rPr>
          <w:lang w:val="en-US" w:eastAsia="en-ZA" w:bidi="en-US"/>
        </w:rPr>
        <w:instrText>ADDIN CSL_CITATION { "citationItems" : [ { "id" : "ITEM-1", "itemData" : { "DOI" : "10.1016/j.ijggc.2009.09.012", "ISBN" : "1750-5836", "ISSN" : "17505836", "abstract" : "A laboratory-scale reactor system was built and operated to demonstrate the feasibility of catalytically reacting carbon dioxide (CO2) with renewably-generated hydrogen (H2) to produce methane (CH4) according to the Sabatier reaction: CO2 + 4H2 ??? CH4 + 2H2O. A cylindrical reaction vessel packed with a commercial methanation catalyst (Haldor Tops??e PK-7R) was used. Renewable H2 produced by electrolysis of water (from solar- and wind-generated electricity) was fed into the reactor along with a custom blend of 2% CO2 in N2, meant to represent a synthetic exhaust mixture. Reaction conditions of temperature, flow rates, and gas mixing ratios were varied to determine optimum performance. The extent of reaction was monitored by real-time measurement of CO2 and CH4. Maximum conversion of CO2 occurred at 300-350 ??C. Approximately 60% conversion of CO2 was realized at a space velocity of about 10,000 h-1 with a molar ratio of H2/CO2 of 4/1. Somewhat higher total CO2 conversion was possible by increasing the H2/CO2 ratio, but the most efficient use of available H2 occurs at a lower H2/CO2 ratio. ?? 2009 Elsevier Ltd. All rights reserved.", "author" : [ { "dropping-particle" : "", "family" : "Hoekman", "given" : "S. Kent", "non-dropping-particle" : "", "parse-names" : false, "suffix" : "" }, { "dropping-particle" : "", "family" : "Broch", "given" : "Amber", "non-dropping-particle" : "", "parse-names" : false, "suffix" : "" }, { "dropping-particle" : "", "family" : "Robbins", "given" : "Curtis", "non-dropping-particle" : "", "parse-names" : false, "suffix" : "" }, { "dropping-particle" : "", "family" : "Purcell", "given" : "Richard", "non-dropping-particle" : "", "parse-names" : false, "suffix" : "" } ], "container-title" : "International Journal of Greenhouse Gas Control", "id" : "ITEM-1", "issue" : "1", "issued" : { "date-parts" : [ [ "2010" ] ] }, "page" : "44-50", "title" : "CO2 recycling by reaction with renewably-generated hydrogen", "type" : "article-journal", "volume" : "4" }, "uris" : [ "http://www.mendeley.com/documents/?uuid=2fc0a24c-3af2-49c8-8f3c-ebf1ebc0ffe8" ] } ], "mendeley" : { "formattedCitation" : "[7]", "plainTextFormattedCitation" : "[7]", "previouslyFormattedCitation" : "[7]" }, "properties" : { "noteIndex" : 0 }, "schema" : "https://github.com/citation-style-language/schema/raw/master/csl-citation.json" }</w:instrText>
      </w:r>
      <w:r>
        <w:rPr>
          <w:lang w:val="en-US" w:eastAsia="en-ZA" w:bidi="en-US"/>
        </w:rPr>
        <w:fldChar w:fldCharType="separate"/>
      </w:r>
      <w:r>
        <w:rPr>
          <w:noProof/>
          <w:lang w:val="en-US" w:eastAsia="en-ZA" w:bidi="en-US"/>
        </w:rPr>
        <w:t>[7]</w:t>
      </w:r>
      <w:r>
        <w:rPr>
          <w:lang w:val="en-US" w:eastAsia="en-ZA" w:bidi="en-US"/>
        </w:rPr>
        <w:fldChar w:fldCharType="end"/>
      </w:r>
      <w:r>
        <w:rPr>
          <w:lang w:val="en-US" w:eastAsia="en-ZA" w:bidi="en-US"/>
        </w:rPr>
        <w:t xml:space="preserve"> also showed a similar trend for methanation of a dilute CO</w:t>
      </w:r>
      <w:r>
        <w:rPr>
          <w:vertAlign w:val="subscript"/>
          <w:lang w:val="en-US" w:eastAsia="en-ZA" w:bidi="en-US"/>
        </w:rPr>
        <w:t>2</w:t>
      </w:r>
      <w:r>
        <w:rPr>
          <w:lang w:val="en-US" w:eastAsia="en-ZA" w:bidi="en-US"/>
        </w:rPr>
        <w:t xml:space="preserve"> feed but indicated lower H</w:t>
      </w:r>
      <w:r>
        <w:rPr>
          <w:vertAlign w:val="subscript"/>
          <w:lang w:val="en-US" w:eastAsia="en-ZA" w:bidi="en-US"/>
        </w:rPr>
        <w:t>2</w:t>
      </w:r>
      <w:r>
        <w:rPr>
          <w:lang w:val="en-US" w:eastAsia="en-ZA" w:bidi="en-US"/>
        </w:rPr>
        <w:t>/CO</w:t>
      </w:r>
      <w:r>
        <w:rPr>
          <w:vertAlign w:val="subscript"/>
          <w:lang w:val="en-US" w:eastAsia="en-ZA" w:bidi="en-US"/>
        </w:rPr>
        <w:t>2</w:t>
      </w:r>
      <w:r>
        <w:rPr>
          <w:lang w:val="en-US" w:eastAsia="en-ZA" w:bidi="en-US"/>
        </w:rPr>
        <w:t xml:space="preserve"> ratios lead to more efficient use of available hydrogen.</w:t>
      </w:r>
    </w:p>
    <w:tbl>
      <w:tblPr>
        <w:tblStyle w:val="TableGrid"/>
        <w:tblW w:w="5495" w:type="dxa"/>
        <w:jc w:val="center"/>
        <w:tblLook w:val="04A0" w:firstRow="1" w:lastRow="0" w:firstColumn="1" w:lastColumn="0" w:noHBand="0" w:noVBand="1"/>
      </w:tblPr>
      <w:tblGrid>
        <w:gridCol w:w="1809"/>
        <w:gridCol w:w="1843"/>
        <w:gridCol w:w="1843"/>
      </w:tblGrid>
      <w:tr>
        <w:trPr>
          <w:trHeight w:hRule="exact" w:val="295"/>
          <w:jc w:val="center"/>
        </w:trPr>
        <w:tc>
          <w:tcPr>
            <w:tcW w:w="5495" w:type="dxa"/>
            <w:gridSpan w:val="3"/>
            <w:shd w:val="clear" w:color="auto" w:fill="BFBFBF" w:themeFill="background1" w:themeFillShade="BF"/>
            <w:noWrap/>
            <w:vAlign w:val="center"/>
          </w:tcPr>
          <w:p>
            <w:pPr>
              <w:jc w:val="left"/>
              <w:rPr>
                <w:rFonts w:eastAsia="Times New Roman" w:cs="Arial"/>
                <w:b/>
                <w:color w:val="000000"/>
                <w:sz w:val="18"/>
                <w:szCs w:val="18"/>
              </w:rPr>
            </w:pPr>
            <w:r>
              <w:rPr>
                <w:rFonts w:eastAsia="Times New Roman" w:cs="Arial"/>
                <w:b/>
                <w:color w:val="000000"/>
                <w:sz w:val="18"/>
                <w:szCs w:val="18"/>
              </w:rPr>
              <w:t xml:space="preserve">Table 3: </w:t>
            </w:r>
            <w:r>
              <w:rPr>
                <w:rFonts w:eastAsia="Times New Roman" w:cs="Arial"/>
                <w:color w:val="000000"/>
                <w:sz w:val="18"/>
                <w:szCs w:val="18"/>
              </w:rPr>
              <w:t>Optimum reactor conditions for CH</w:t>
            </w:r>
            <w:r>
              <w:rPr>
                <w:rFonts w:eastAsia="Times New Roman" w:cs="Arial"/>
                <w:color w:val="000000"/>
                <w:sz w:val="18"/>
                <w:szCs w:val="18"/>
                <w:vertAlign w:val="subscript"/>
              </w:rPr>
              <w:t>4</w:t>
            </w:r>
            <w:r>
              <w:rPr>
                <w:rFonts w:eastAsia="Times New Roman" w:cs="Arial"/>
                <w:color w:val="000000"/>
                <w:sz w:val="18"/>
                <w:szCs w:val="18"/>
              </w:rPr>
              <w:t xml:space="preserve"> production</w:t>
            </w:r>
          </w:p>
        </w:tc>
      </w:tr>
      <w:tr>
        <w:trPr>
          <w:trHeight w:hRule="exact" w:val="295"/>
          <w:jc w:val="center"/>
        </w:trPr>
        <w:tc>
          <w:tcPr>
            <w:tcW w:w="3652" w:type="dxa"/>
            <w:gridSpan w:val="2"/>
            <w:shd w:val="clear" w:color="auto" w:fill="F2F2F2" w:themeFill="background1" w:themeFillShade="F2"/>
            <w:noWrap/>
            <w:vAlign w:val="center"/>
          </w:tcPr>
          <w:p>
            <w:pPr>
              <w:spacing w:line="240" w:lineRule="auto"/>
              <w:jc w:val="left"/>
              <w:rPr>
                <w:rFonts w:eastAsia="Times New Roman" w:cs="Arial"/>
                <w:color w:val="000000"/>
                <w:sz w:val="18"/>
                <w:szCs w:val="18"/>
              </w:rPr>
            </w:pPr>
            <w:r>
              <w:rPr>
                <w:rFonts w:eastAsia="Times New Roman" w:cs="Arial"/>
                <w:color w:val="000000"/>
                <w:sz w:val="18"/>
                <w:szCs w:val="18"/>
              </w:rPr>
              <w:t>Reactor catalyst</w:t>
            </w:r>
          </w:p>
        </w:tc>
        <w:tc>
          <w:tcPr>
            <w:tcW w:w="1843" w:type="dxa"/>
            <w:shd w:val="clear" w:color="auto" w:fill="F2F2F2" w:themeFill="background1" w:themeFillShade="F2"/>
            <w:noWrap/>
            <w:vAlign w:val="center"/>
          </w:tcPr>
          <w:p>
            <w:pPr>
              <w:spacing w:line="240" w:lineRule="auto"/>
              <w:jc w:val="center"/>
              <w:rPr>
                <w:rFonts w:eastAsia="Times New Roman" w:cs="Arial"/>
                <w:color w:val="000000"/>
                <w:sz w:val="18"/>
                <w:szCs w:val="18"/>
              </w:rPr>
            </w:pPr>
            <w:r>
              <w:rPr>
                <w:sz w:val="18"/>
                <w:szCs w:val="18"/>
                <w:lang w:val="en-US" w:bidi="en-US"/>
              </w:rPr>
              <w:t>8.5 wt.% Ru/Al</w:t>
            </w:r>
            <w:r>
              <w:rPr>
                <w:sz w:val="18"/>
                <w:szCs w:val="18"/>
                <w:vertAlign w:val="subscript"/>
                <w:lang w:val="en-US" w:bidi="en-US"/>
              </w:rPr>
              <w:t>2</w:t>
            </w:r>
            <w:r>
              <w:rPr>
                <w:sz w:val="18"/>
                <w:szCs w:val="18"/>
                <w:lang w:val="en-US" w:bidi="en-US"/>
              </w:rPr>
              <w:t>O</w:t>
            </w:r>
            <w:r>
              <w:rPr>
                <w:sz w:val="18"/>
                <w:szCs w:val="18"/>
                <w:vertAlign w:val="subscript"/>
                <w:lang w:val="en-US" w:bidi="en-US"/>
              </w:rPr>
              <w:t>3</w:t>
            </w:r>
          </w:p>
        </w:tc>
      </w:tr>
      <w:tr>
        <w:trPr>
          <w:trHeight w:hRule="exact" w:val="295"/>
          <w:jc w:val="center"/>
        </w:trPr>
        <w:tc>
          <w:tcPr>
            <w:tcW w:w="3652" w:type="dxa"/>
            <w:gridSpan w:val="2"/>
            <w:shd w:val="clear" w:color="auto" w:fill="F2F2F2" w:themeFill="background1" w:themeFillShade="F2"/>
            <w:noWrap/>
            <w:vAlign w:val="center"/>
          </w:tcPr>
          <w:p>
            <w:pPr>
              <w:spacing w:line="240" w:lineRule="auto"/>
              <w:jc w:val="left"/>
              <w:rPr>
                <w:rFonts w:eastAsia="Times New Roman" w:cs="Arial"/>
                <w:color w:val="000000"/>
                <w:sz w:val="18"/>
                <w:szCs w:val="18"/>
              </w:rPr>
            </w:pPr>
            <w:r>
              <w:rPr>
                <w:rFonts w:eastAsia="Times New Roman" w:cs="Arial"/>
                <w:color w:val="000000"/>
                <w:sz w:val="18"/>
                <w:szCs w:val="18"/>
              </w:rPr>
              <w:t>Catalyst weight (mg)</w:t>
            </w:r>
          </w:p>
        </w:tc>
        <w:tc>
          <w:tcPr>
            <w:tcW w:w="1843" w:type="dxa"/>
            <w:shd w:val="clear" w:color="auto" w:fill="F2F2F2" w:themeFill="background1" w:themeFillShade="F2"/>
            <w:noWrap/>
            <w:vAlign w:val="center"/>
          </w:tcPr>
          <w:p>
            <w:pPr>
              <w:spacing w:line="240" w:lineRule="auto"/>
              <w:jc w:val="center"/>
              <w:rPr>
                <w:rFonts w:eastAsia="Times New Roman" w:cs="Arial"/>
                <w:color w:val="000000"/>
                <w:sz w:val="18"/>
                <w:szCs w:val="18"/>
              </w:rPr>
            </w:pPr>
            <w:r>
              <w:rPr>
                <w:rFonts w:eastAsia="Times New Roman" w:cs="Arial"/>
                <w:color w:val="000000"/>
                <w:sz w:val="18"/>
                <w:szCs w:val="18"/>
              </w:rPr>
              <w:t>92</w:t>
            </w:r>
          </w:p>
        </w:tc>
      </w:tr>
      <w:tr>
        <w:trPr>
          <w:trHeight w:hRule="exact" w:val="295"/>
          <w:jc w:val="center"/>
        </w:trPr>
        <w:tc>
          <w:tcPr>
            <w:tcW w:w="3652" w:type="dxa"/>
            <w:gridSpan w:val="2"/>
            <w:shd w:val="clear" w:color="auto" w:fill="F2F2F2" w:themeFill="background1" w:themeFillShade="F2"/>
            <w:noWrap/>
            <w:vAlign w:val="center"/>
          </w:tcPr>
          <w:p>
            <w:pPr>
              <w:spacing w:line="240" w:lineRule="auto"/>
              <w:jc w:val="left"/>
              <w:rPr>
                <w:rFonts w:eastAsia="Times New Roman" w:cs="Arial"/>
                <w:color w:val="000000"/>
                <w:sz w:val="18"/>
                <w:szCs w:val="18"/>
              </w:rPr>
            </w:pPr>
            <w:r>
              <w:rPr>
                <w:rFonts w:eastAsia="Times New Roman" w:cs="Arial"/>
                <w:color w:val="000000"/>
                <w:sz w:val="18"/>
                <w:szCs w:val="18"/>
              </w:rPr>
              <w:t>H</w:t>
            </w:r>
            <w:r>
              <w:rPr>
                <w:rFonts w:eastAsia="Times New Roman" w:cs="Arial"/>
                <w:color w:val="000000"/>
                <w:sz w:val="18"/>
                <w:szCs w:val="18"/>
                <w:vertAlign w:val="subscript"/>
              </w:rPr>
              <w:t>2</w:t>
            </w:r>
            <w:r>
              <w:rPr>
                <w:rFonts w:eastAsia="Times New Roman" w:cs="Arial"/>
                <w:color w:val="000000"/>
                <w:sz w:val="18"/>
                <w:szCs w:val="18"/>
              </w:rPr>
              <w:t>:CO</w:t>
            </w:r>
            <w:r>
              <w:rPr>
                <w:rFonts w:eastAsia="Times New Roman" w:cs="Arial"/>
                <w:color w:val="000000"/>
                <w:sz w:val="18"/>
                <w:szCs w:val="18"/>
                <w:vertAlign w:val="subscript"/>
              </w:rPr>
              <w:t>2</w:t>
            </w:r>
            <w:r>
              <w:rPr>
                <w:rFonts w:eastAsia="Times New Roman" w:cs="Arial"/>
                <w:color w:val="000000"/>
                <w:sz w:val="18"/>
                <w:szCs w:val="18"/>
              </w:rPr>
              <w:t xml:space="preserve"> molar feed ratio</w:t>
            </w:r>
          </w:p>
        </w:tc>
        <w:tc>
          <w:tcPr>
            <w:tcW w:w="1843" w:type="dxa"/>
            <w:shd w:val="clear" w:color="auto" w:fill="F2F2F2" w:themeFill="background1" w:themeFillShade="F2"/>
            <w:noWrap/>
            <w:vAlign w:val="center"/>
          </w:tcPr>
          <w:p>
            <w:pPr>
              <w:spacing w:line="240" w:lineRule="auto"/>
              <w:jc w:val="center"/>
              <w:rPr>
                <w:rFonts w:eastAsia="Times New Roman" w:cs="Arial"/>
                <w:color w:val="000000"/>
                <w:sz w:val="18"/>
                <w:szCs w:val="18"/>
              </w:rPr>
            </w:pPr>
            <w:r>
              <w:rPr>
                <w:rFonts w:eastAsia="Times New Roman" w:cs="Arial"/>
                <w:color w:val="000000"/>
                <w:sz w:val="18"/>
                <w:szCs w:val="18"/>
              </w:rPr>
              <w:t>4:1</w:t>
            </w:r>
          </w:p>
        </w:tc>
      </w:tr>
      <w:tr>
        <w:trPr>
          <w:trHeight w:hRule="exact" w:val="295"/>
          <w:jc w:val="center"/>
        </w:trPr>
        <w:tc>
          <w:tcPr>
            <w:tcW w:w="3652" w:type="dxa"/>
            <w:gridSpan w:val="2"/>
            <w:shd w:val="clear" w:color="auto" w:fill="F2F2F2" w:themeFill="background1" w:themeFillShade="F2"/>
            <w:noWrap/>
            <w:vAlign w:val="center"/>
            <w:hideMark/>
          </w:tcPr>
          <w:p>
            <w:pPr>
              <w:spacing w:line="240" w:lineRule="auto"/>
              <w:jc w:val="left"/>
              <w:rPr>
                <w:rFonts w:eastAsia="Times New Roman" w:cs="Arial"/>
                <w:color w:val="000000"/>
                <w:sz w:val="18"/>
                <w:szCs w:val="18"/>
              </w:rPr>
            </w:pPr>
            <w:r>
              <w:rPr>
                <w:rFonts w:eastAsia="Times New Roman" w:cs="Arial"/>
                <w:color w:val="000000"/>
                <w:sz w:val="18"/>
                <w:szCs w:val="18"/>
              </w:rPr>
              <w:t>Reactor temperature (°C)</w:t>
            </w:r>
          </w:p>
        </w:tc>
        <w:tc>
          <w:tcPr>
            <w:tcW w:w="1843" w:type="dxa"/>
            <w:shd w:val="clear" w:color="auto" w:fill="F2F2F2" w:themeFill="background1" w:themeFillShade="F2"/>
            <w:noWrap/>
            <w:vAlign w:val="center"/>
            <w:hideMark/>
          </w:tcPr>
          <w:p>
            <w:pPr>
              <w:spacing w:line="240" w:lineRule="auto"/>
              <w:jc w:val="center"/>
              <w:rPr>
                <w:rFonts w:eastAsia="Times New Roman" w:cs="Arial"/>
                <w:color w:val="000000"/>
                <w:sz w:val="18"/>
                <w:szCs w:val="18"/>
              </w:rPr>
            </w:pPr>
            <w:r>
              <w:rPr>
                <w:rFonts w:eastAsia="Times New Roman" w:cs="Arial"/>
                <w:color w:val="000000"/>
                <w:sz w:val="18"/>
                <w:szCs w:val="18"/>
              </w:rPr>
              <w:t>400</w:t>
            </w:r>
          </w:p>
        </w:tc>
      </w:tr>
      <w:tr>
        <w:trPr>
          <w:trHeight w:hRule="exact" w:val="295"/>
          <w:jc w:val="center"/>
        </w:trPr>
        <w:tc>
          <w:tcPr>
            <w:tcW w:w="3652" w:type="dxa"/>
            <w:gridSpan w:val="2"/>
            <w:shd w:val="clear" w:color="auto" w:fill="F2F2F2" w:themeFill="background1" w:themeFillShade="F2"/>
            <w:noWrap/>
            <w:vAlign w:val="center"/>
            <w:hideMark/>
          </w:tcPr>
          <w:p>
            <w:pPr>
              <w:spacing w:line="240" w:lineRule="auto"/>
              <w:jc w:val="left"/>
              <w:rPr>
                <w:rFonts w:eastAsia="Times New Roman" w:cs="Arial"/>
                <w:color w:val="000000"/>
                <w:sz w:val="18"/>
                <w:szCs w:val="18"/>
              </w:rPr>
            </w:pPr>
            <w:r>
              <w:rPr>
                <w:rFonts w:eastAsia="Times New Roman" w:cs="Arial"/>
                <w:color w:val="000000"/>
                <w:sz w:val="18"/>
                <w:szCs w:val="18"/>
              </w:rPr>
              <w:t>Reactor pressure (bar)</w:t>
            </w:r>
          </w:p>
        </w:tc>
        <w:tc>
          <w:tcPr>
            <w:tcW w:w="1843" w:type="dxa"/>
            <w:shd w:val="clear" w:color="auto" w:fill="F2F2F2" w:themeFill="background1" w:themeFillShade="F2"/>
            <w:noWrap/>
            <w:vAlign w:val="center"/>
            <w:hideMark/>
          </w:tcPr>
          <w:p>
            <w:pPr>
              <w:spacing w:line="240" w:lineRule="auto"/>
              <w:jc w:val="center"/>
              <w:rPr>
                <w:rFonts w:eastAsia="Times New Roman" w:cs="Arial"/>
                <w:color w:val="000000"/>
                <w:sz w:val="18"/>
                <w:szCs w:val="18"/>
              </w:rPr>
            </w:pPr>
            <w:r>
              <w:rPr>
                <w:rFonts w:eastAsia="Times New Roman" w:cs="Arial"/>
                <w:color w:val="000000"/>
                <w:sz w:val="18"/>
                <w:szCs w:val="18"/>
              </w:rPr>
              <w:t>5</w:t>
            </w:r>
          </w:p>
        </w:tc>
      </w:tr>
      <w:tr>
        <w:trPr>
          <w:trHeight w:hRule="exact" w:val="295"/>
          <w:jc w:val="center"/>
        </w:trPr>
        <w:tc>
          <w:tcPr>
            <w:tcW w:w="3652" w:type="dxa"/>
            <w:gridSpan w:val="2"/>
            <w:shd w:val="clear" w:color="auto" w:fill="F2F2F2" w:themeFill="background1" w:themeFillShade="F2"/>
            <w:noWrap/>
            <w:vAlign w:val="center"/>
            <w:hideMark/>
          </w:tcPr>
          <w:p>
            <w:pPr>
              <w:spacing w:line="240" w:lineRule="auto"/>
              <w:jc w:val="left"/>
              <w:rPr>
                <w:rFonts w:eastAsia="Times New Roman" w:cs="Arial"/>
                <w:color w:val="000000"/>
                <w:sz w:val="18"/>
                <w:szCs w:val="18"/>
              </w:rPr>
            </w:pPr>
            <w:r>
              <w:rPr>
                <w:rFonts w:eastAsia="Times New Roman" w:cs="Arial"/>
                <w:color w:val="000000"/>
                <w:sz w:val="18"/>
                <w:szCs w:val="18"/>
              </w:rPr>
              <w:t>GHSV (L.g</w:t>
            </w:r>
            <w:r>
              <w:rPr>
                <w:rFonts w:eastAsia="Times New Roman" w:cs="Arial"/>
                <w:color w:val="000000"/>
                <w:sz w:val="18"/>
                <w:szCs w:val="18"/>
                <w:vertAlign w:val="subscript"/>
              </w:rPr>
              <w:t>cat</w:t>
            </w:r>
            <w:r>
              <w:rPr>
                <w:rFonts w:eastAsia="Times New Roman" w:cs="Arial"/>
                <w:color w:val="000000"/>
                <w:sz w:val="18"/>
                <w:szCs w:val="18"/>
                <w:vertAlign w:val="superscript"/>
              </w:rPr>
              <w:t>-1</w:t>
            </w:r>
            <w:r>
              <w:rPr>
                <w:rFonts w:eastAsia="Times New Roman" w:cs="Arial"/>
                <w:color w:val="000000"/>
                <w:sz w:val="18"/>
                <w:szCs w:val="18"/>
              </w:rPr>
              <w:t>.h</w:t>
            </w:r>
            <w:r>
              <w:rPr>
                <w:rFonts w:eastAsia="Times New Roman" w:cs="Arial"/>
                <w:color w:val="000000"/>
                <w:sz w:val="18"/>
                <w:szCs w:val="18"/>
                <w:vertAlign w:val="superscript"/>
              </w:rPr>
              <w:t>-1</w:t>
            </w:r>
            <w:r>
              <w:rPr>
                <w:rFonts w:eastAsia="Times New Roman" w:cs="Arial"/>
                <w:color w:val="000000"/>
                <w:sz w:val="18"/>
                <w:szCs w:val="18"/>
              </w:rPr>
              <w:t>)</w:t>
            </w:r>
          </w:p>
        </w:tc>
        <w:tc>
          <w:tcPr>
            <w:tcW w:w="1843" w:type="dxa"/>
            <w:shd w:val="clear" w:color="auto" w:fill="F2F2F2" w:themeFill="background1" w:themeFillShade="F2"/>
            <w:noWrap/>
            <w:vAlign w:val="center"/>
            <w:hideMark/>
          </w:tcPr>
          <w:p>
            <w:pPr>
              <w:spacing w:line="240" w:lineRule="auto"/>
              <w:jc w:val="center"/>
              <w:rPr>
                <w:rFonts w:eastAsia="Times New Roman" w:cs="Arial"/>
                <w:color w:val="000000"/>
                <w:sz w:val="18"/>
                <w:szCs w:val="18"/>
              </w:rPr>
            </w:pPr>
            <w:r>
              <w:rPr>
                <w:rFonts w:eastAsia="Times New Roman" w:cs="Arial"/>
                <w:color w:val="000000"/>
                <w:sz w:val="18"/>
                <w:szCs w:val="18"/>
              </w:rPr>
              <w:t>97.8</w:t>
            </w:r>
          </w:p>
        </w:tc>
      </w:tr>
      <w:tr>
        <w:trPr>
          <w:trHeight w:hRule="exact" w:val="295"/>
          <w:jc w:val="center"/>
        </w:trPr>
        <w:tc>
          <w:tcPr>
            <w:tcW w:w="3652" w:type="dxa"/>
            <w:gridSpan w:val="2"/>
            <w:shd w:val="clear" w:color="auto" w:fill="F2F2F2" w:themeFill="background1" w:themeFillShade="F2"/>
            <w:noWrap/>
            <w:vAlign w:val="center"/>
          </w:tcPr>
          <w:p>
            <w:pPr>
              <w:spacing w:line="240" w:lineRule="auto"/>
              <w:jc w:val="left"/>
              <w:rPr>
                <w:rFonts w:eastAsia="Times New Roman" w:cs="Arial"/>
                <w:color w:val="000000"/>
                <w:sz w:val="18"/>
                <w:szCs w:val="18"/>
              </w:rPr>
            </w:pPr>
            <w:r>
              <w:rPr>
                <w:rFonts w:eastAsia="Times New Roman" w:cs="Arial"/>
                <w:color w:val="000000"/>
                <w:sz w:val="18"/>
                <w:szCs w:val="18"/>
              </w:rPr>
              <w:t>CO</w:t>
            </w:r>
            <w:r>
              <w:rPr>
                <w:rFonts w:eastAsia="Times New Roman" w:cs="Arial"/>
                <w:color w:val="000000"/>
                <w:sz w:val="18"/>
                <w:szCs w:val="18"/>
                <w:vertAlign w:val="subscript"/>
              </w:rPr>
              <w:t>2</w:t>
            </w:r>
            <w:r>
              <w:rPr>
                <w:rFonts w:eastAsia="Times New Roman" w:cs="Arial"/>
                <w:color w:val="000000"/>
                <w:sz w:val="18"/>
                <w:szCs w:val="18"/>
              </w:rPr>
              <w:t xml:space="preserve"> conversion (%)</w:t>
            </w:r>
          </w:p>
        </w:tc>
        <w:tc>
          <w:tcPr>
            <w:tcW w:w="1843" w:type="dxa"/>
            <w:shd w:val="clear" w:color="auto" w:fill="F2F2F2" w:themeFill="background1" w:themeFillShade="F2"/>
            <w:noWrap/>
            <w:vAlign w:val="center"/>
          </w:tcPr>
          <w:p>
            <w:pPr>
              <w:spacing w:line="240" w:lineRule="auto"/>
              <w:jc w:val="center"/>
              <w:rPr>
                <w:rFonts w:eastAsia="Times New Roman" w:cs="Arial"/>
                <w:color w:val="000000"/>
                <w:sz w:val="18"/>
                <w:szCs w:val="18"/>
              </w:rPr>
            </w:pPr>
            <w:r>
              <w:rPr>
                <w:rFonts w:eastAsia="Times New Roman" w:cs="Arial"/>
                <w:color w:val="000000"/>
                <w:sz w:val="18"/>
                <w:szCs w:val="18"/>
              </w:rPr>
              <w:t>83.4</w:t>
            </w:r>
          </w:p>
        </w:tc>
      </w:tr>
      <w:tr>
        <w:trPr>
          <w:trHeight w:hRule="exact" w:val="295"/>
          <w:jc w:val="center"/>
        </w:trPr>
        <w:tc>
          <w:tcPr>
            <w:tcW w:w="3652" w:type="dxa"/>
            <w:gridSpan w:val="2"/>
            <w:shd w:val="clear" w:color="auto" w:fill="F2F2F2" w:themeFill="background1" w:themeFillShade="F2"/>
            <w:noWrap/>
            <w:vAlign w:val="center"/>
            <w:hideMark/>
          </w:tcPr>
          <w:p>
            <w:pPr>
              <w:spacing w:line="240" w:lineRule="auto"/>
              <w:jc w:val="left"/>
              <w:rPr>
                <w:rFonts w:eastAsia="Times New Roman" w:cs="Arial"/>
                <w:color w:val="000000"/>
                <w:sz w:val="18"/>
                <w:szCs w:val="18"/>
              </w:rPr>
            </w:pPr>
            <w:r>
              <w:rPr>
                <w:rFonts w:eastAsia="Times New Roman" w:cs="Arial"/>
                <w:color w:val="000000"/>
                <w:sz w:val="18"/>
                <w:szCs w:val="18"/>
              </w:rPr>
              <w:t>CH</w:t>
            </w:r>
            <w:r>
              <w:rPr>
                <w:rFonts w:eastAsia="Times New Roman" w:cs="Arial"/>
                <w:color w:val="000000"/>
                <w:sz w:val="18"/>
                <w:szCs w:val="18"/>
                <w:vertAlign w:val="subscript"/>
              </w:rPr>
              <w:t>4</w:t>
            </w:r>
            <w:r>
              <w:rPr>
                <w:rFonts w:eastAsia="Times New Roman" w:cs="Arial"/>
                <w:color w:val="000000"/>
                <w:sz w:val="18"/>
                <w:szCs w:val="18"/>
              </w:rPr>
              <w:t xml:space="preserve"> yield (%)</w:t>
            </w:r>
          </w:p>
        </w:tc>
        <w:tc>
          <w:tcPr>
            <w:tcW w:w="1843" w:type="dxa"/>
            <w:shd w:val="clear" w:color="auto" w:fill="F2F2F2" w:themeFill="background1" w:themeFillShade="F2"/>
            <w:noWrap/>
            <w:vAlign w:val="center"/>
            <w:hideMark/>
          </w:tcPr>
          <w:p>
            <w:pPr>
              <w:spacing w:line="240" w:lineRule="auto"/>
              <w:jc w:val="center"/>
              <w:rPr>
                <w:rFonts w:eastAsia="Times New Roman" w:cs="Arial"/>
                <w:color w:val="000000"/>
                <w:sz w:val="18"/>
                <w:szCs w:val="18"/>
              </w:rPr>
            </w:pPr>
            <w:r>
              <w:rPr>
                <w:rFonts w:eastAsia="Times New Roman" w:cs="Arial"/>
                <w:color w:val="000000"/>
                <w:sz w:val="18"/>
                <w:szCs w:val="18"/>
              </w:rPr>
              <w:t>83.5</w:t>
            </w:r>
          </w:p>
        </w:tc>
      </w:tr>
      <w:tr>
        <w:trPr>
          <w:trHeight w:hRule="exact" w:val="295"/>
          <w:jc w:val="center"/>
        </w:trPr>
        <w:tc>
          <w:tcPr>
            <w:tcW w:w="3652" w:type="dxa"/>
            <w:gridSpan w:val="2"/>
            <w:shd w:val="clear" w:color="auto" w:fill="F2F2F2" w:themeFill="background1" w:themeFillShade="F2"/>
            <w:noWrap/>
            <w:vAlign w:val="center"/>
            <w:hideMark/>
          </w:tcPr>
          <w:p>
            <w:pPr>
              <w:spacing w:line="240" w:lineRule="auto"/>
              <w:jc w:val="left"/>
              <w:rPr>
                <w:rFonts w:eastAsia="Times New Roman" w:cs="Arial"/>
                <w:color w:val="000000"/>
                <w:sz w:val="18"/>
                <w:szCs w:val="18"/>
              </w:rPr>
            </w:pPr>
            <w:r>
              <w:rPr>
                <w:rFonts w:eastAsia="Times New Roman" w:cs="Arial"/>
                <w:color w:val="000000"/>
                <w:sz w:val="18"/>
                <w:szCs w:val="18"/>
              </w:rPr>
              <w:t>CH</w:t>
            </w:r>
            <w:r>
              <w:rPr>
                <w:rFonts w:eastAsia="Times New Roman" w:cs="Arial"/>
                <w:color w:val="000000"/>
                <w:sz w:val="18"/>
                <w:szCs w:val="18"/>
                <w:vertAlign w:val="subscript"/>
              </w:rPr>
              <w:t>4</w:t>
            </w:r>
            <w:r>
              <w:rPr>
                <w:rFonts w:eastAsia="Times New Roman" w:cs="Arial"/>
                <w:color w:val="000000"/>
                <w:sz w:val="18"/>
                <w:szCs w:val="18"/>
              </w:rPr>
              <w:t xml:space="preserve"> productivity (L.g</w:t>
            </w:r>
            <w:r>
              <w:rPr>
                <w:rFonts w:eastAsia="Times New Roman" w:cs="Arial"/>
                <w:color w:val="000000"/>
                <w:sz w:val="18"/>
                <w:szCs w:val="18"/>
                <w:vertAlign w:val="subscript"/>
              </w:rPr>
              <w:t>cat</w:t>
            </w:r>
            <w:r>
              <w:rPr>
                <w:rFonts w:eastAsia="Times New Roman" w:cs="Arial"/>
                <w:color w:val="000000"/>
                <w:sz w:val="18"/>
                <w:szCs w:val="18"/>
                <w:vertAlign w:val="superscript"/>
              </w:rPr>
              <w:t>-1</w:t>
            </w:r>
            <w:r>
              <w:rPr>
                <w:rFonts w:eastAsia="Times New Roman" w:cs="Arial"/>
                <w:color w:val="000000"/>
                <w:sz w:val="18"/>
                <w:szCs w:val="18"/>
              </w:rPr>
              <w:t>.h</w:t>
            </w:r>
            <w:r>
              <w:rPr>
                <w:rFonts w:eastAsia="Times New Roman" w:cs="Arial"/>
                <w:color w:val="000000"/>
                <w:sz w:val="18"/>
                <w:szCs w:val="18"/>
                <w:vertAlign w:val="superscript"/>
              </w:rPr>
              <w:t>-1</w:t>
            </w:r>
            <w:r>
              <w:rPr>
                <w:rFonts w:eastAsia="Times New Roman" w:cs="Arial"/>
                <w:color w:val="000000"/>
                <w:sz w:val="18"/>
                <w:szCs w:val="18"/>
              </w:rPr>
              <w:t>)</w:t>
            </w:r>
          </w:p>
        </w:tc>
        <w:tc>
          <w:tcPr>
            <w:tcW w:w="1843" w:type="dxa"/>
            <w:shd w:val="clear" w:color="auto" w:fill="F2F2F2" w:themeFill="background1" w:themeFillShade="F2"/>
            <w:noWrap/>
            <w:vAlign w:val="center"/>
            <w:hideMark/>
          </w:tcPr>
          <w:p>
            <w:pPr>
              <w:spacing w:line="240" w:lineRule="auto"/>
              <w:jc w:val="center"/>
              <w:rPr>
                <w:rFonts w:eastAsia="Times New Roman" w:cs="Arial"/>
                <w:color w:val="000000"/>
                <w:sz w:val="18"/>
                <w:szCs w:val="18"/>
              </w:rPr>
            </w:pPr>
            <w:r>
              <w:rPr>
                <w:rFonts w:eastAsia="Times New Roman" w:cs="Arial"/>
                <w:color w:val="000000"/>
                <w:sz w:val="18"/>
                <w:szCs w:val="18"/>
              </w:rPr>
              <w:t>16.9</w:t>
            </w:r>
          </w:p>
        </w:tc>
      </w:tr>
      <w:tr>
        <w:trPr>
          <w:trHeight w:hRule="exact" w:val="462"/>
          <w:jc w:val="center"/>
        </w:trPr>
        <w:tc>
          <w:tcPr>
            <w:tcW w:w="1809" w:type="dxa"/>
            <w:shd w:val="clear" w:color="auto" w:fill="F2F2F2" w:themeFill="background1" w:themeFillShade="F2"/>
            <w:noWrap/>
            <w:vAlign w:val="center"/>
          </w:tcPr>
          <w:p>
            <w:pPr>
              <w:spacing w:line="240" w:lineRule="auto"/>
              <w:jc w:val="left"/>
              <w:rPr>
                <w:rFonts w:eastAsia="Times New Roman" w:cs="Arial"/>
                <w:color w:val="000000"/>
                <w:sz w:val="18"/>
                <w:szCs w:val="18"/>
              </w:rPr>
            </w:pPr>
            <w:r>
              <w:rPr>
                <w:rFonts w:eastAsia="Times New Roman" w:cs="Arial"/>
                <w:color w:val="000000"/>
                <w:sz w:val="18"/>
                <w:szCs w:val="18"/>
              </w:rPr>
              <w:t>Product composition (d.b)</w:t>
            </w:r>
          </w:p>
        </w:tc>
        <w:tc>
          <w:tcPr>
            <w:tcW w:w="1843" w:type="dxa"/>
            <w:shd w:val="clear" w:color="auto" w:fill="F2F2F2" w:themeFill="background1" w:themeFillShade="F2"/>
            <w:vAlign w:val="center"/>
          </w:tcPr>
          <w:p>
            <w:pPr>
              <w:spacing w:line="240" w:lineRule="auto"/>
              <w:jc w:val="left"/>
              <w:rPr>
                <w:rFonts w:eastAsia="Times New Roman" w:cs="Arial"/>
                <w:color w:val="000000"/>
                <w:sz w:val="18"/>
                <w:szCs w:val="18"/>
              </w:rPr>
            </w:pPr>
            <w:r>
              <w:rPr>
                <w:rFonts w:eastAsia="Times New Roman" w:cs="Arial"/>
                <w:color w:val="000000"/>
                <w:sz w:val="18"/>
                <w:szCs w:val="18"/>
              </w:rPr>
              <w:t>CH</w:t>
            </w:r>
            <w:r>
              <w:rPr>
                <w:rFonts w:eastAsia="Times New Roman" w:cs="Arial"/>
                <w:color w:val="000000"/>
                <w:sz w:val="18"/>
                <w:szCs w:val="18"/>
                <w:vertAlign w:val="subscript"/>
              </w:rPr>
              <w:t>4</w:t>
            </w:r>
          </w:p>
        </w:tc>
        <w:tc>
          <w:tcPr>
            <w:tcW w:w="1843" w:type="dxa"/>
            <w:shd w:val="clear" w:color="auto" w:fill="F2F2F2" w:themeFill="background1" w:themeFillShade="F2"/>
            <w:noWrap/>
            <w:vAlign w:val="center"/>
          </w:tcPr>
          <w:p>
            <w:pPr>
              <w:spacing w:line="240" w:lineRule="auto"/>
              <w:jc w:val="center"/>
              <w:rPr>
                <w:rFonts w:eastAsia="Times New Roman" w:cs="Arial"/>
                <w:color w:val="000000"/>
                <w:sz w:val="18"/>
                <w:szCs w:val="18"/>
              </w:rPr>
            </w:pPr>
            <w:r>
              <w:rPr>
                <w:rFonts w:eastAsia="Times New Roman" w:cs="Arial"/>
                <w:color w:val="000000"/>
                <w:sz w:val="18"/>
                <w:szCs w:val="18"/>
              </w:rPr>
              <w:t>0.43</w:t>
            </w:r>
          </w:p>
        </w:tc>
      </w:tr>
      <w:tr>
        <w:trPr>
          <w:trHeight w:hRule="exact" w:val="295"/>
          <w:jc w:val="center"/>
        </w:trPr>
        <w:tc>
          <w:tcPr>
            <w:tcW w:w="1809" w:type="dxa"/>
            <w:shd w:val="clear" w:color="auto" w:fill="F2F2F2" w:themeFill="background1" w:themeFillShade="F2"/>
            <w:noWrap/>
            <w:vAlign w:val="center"/>
          </w:tcPr>
          <w:p>
            <w:pPr>
              <w:spacing w:line="240" w:lineRule="auto"/>
              <w:jc w:val="left"/>
              <w:rPr>
                <w:rFonts w:eastAsia="Times New Roman" w:cs="Arial"/>
                <w:color w:val="000000"/>
                <w:sz w:val="18"/>
                <w:szCs w:val="18"/>
              </w:rPr>
            </w:pPr>
          </w:p>
        </w:tc>
        <w:tc>
          <w:tcPr>
            <w:tcW w:w="1843" w:type="dxa"/>
            <w:shd w:val="clear" w:color="auto" w:fill="F2F2F2" w:themeFill="background1" w:themeFillShade="F2"/>
            <w:vAlign w:val="center"/>
          </w:tcPr>
          <w:p>
            <w:pPr>
              <w:spacing w:line="240" w:lineRule="auto"/>
              <w:jc w:val="left"/>
              <w:rPr>
                <w:rFonts w:eastAsia="Times New Roman" w:cs="Arial"/>
                <w:color w:val="000000"/>
                <w:sz w:val="18"/>
                <w:szCs w:val="18"/>
              </w:rPr>
            </w:pPr>
            <w:r>
              <w:rPr>
                <w:rFonts w:eastAsia="Times New Roman" w:cs="Arial"/>
                <w:color w:val="000000"/>
                <w:sz w:val="18"/>
                <w:szCs w:val="18"/>
              </w:rPr>
              <w:t>CO</w:t>
            </w:r>
          </w:p>
        </w:tc>
        <w:tc>
          <w:tcPr>
            <w:tcW w:w="1843" w:type="dxa"/>
            <w:shd w:val="clear" w:color="auto" w:fill="F2F2F2" w:themeFill="background1" w:themeFillShade="F2"/>
            <w:noWrap/>
            <w:vAlign w:val="center"/>
          </w:tcPr>
          <w:p>
            <w:pPr>
              <w:spacing w:line="240" w:lineRule="auto"/>
              <w:jc w:val="center"/>
              <w:rPr>
                <w:rFonts w:eastAsia="Times New Roman" w:cs="Arial"/>
                <w:color w:val="000000"/>
                <w:sz w:val="18"/>
                <w:szCs w:val="18"/>
              </w:rPr>
            </w:pPr>
            <w:r>
              <w:rPr>
                <w:rFonts w:eastAsia="Times New Roman" w:cs="Arial"/>
                <w:color w:val="000000"/>
                <w:sz w:val="18"/>
                <w:szCs w:val="18"/>
              </w:rPr>
              <w:t>0.01</w:t>
            </w:r>
          </w:p>
        </w:tc>
      </w:tr>
      <w:tr>
        <w:trPr>
          <w:trHeight w:hRule="exact" w:val="295"/>
          <w:jc w:val="center"/>
        </w:trPr>
        <w:tc>
          <w:tcPr>
            <w:tcW w:w="1809" w:type="dxa"/>
            <w:shd w:val="clear" w:color="auto" w:fill="F2F2F2" w:themeFill="background1" w:themeFillShade="F2"/>
            <w:noWrap/>
            <w:vAlign w:val="center"/>
          </w:tcPr>
          <w:p>
            <w:pPr>
              <w:spacing w:line="240" w:lineRule="auto"/>
              <w:jc w:val="left"/>
              <w:rPr>
                <w:rFonts w:eastAsia="Times New Roman" w:cs="Arial"/>
                <w:color w:val="000000"/>
                <w:sz w:val="18"/>
                <w:szCs w:val="18"/>
              </w:rPr>
            </w:pPr>
          </w:p>
        </w:tc>
        <w:tc>
          <w:tcPr>
            <w:tcW w:w="1843" w:type="dxa"/>
            <w:shd w:val="clear" w:color="auto" w:fill="F2F2F2" w:themeFill="background1" w:themeFillShade="F2"/>
            <w:vAlign w:val="center"/>
          </w:tcPr>
          <w:p>
            <w:pPr>
              <w:spacing w:line="240" w:lineRule="auto"/>
              <w:jc w:val="left"/>
              <w:rPr>
                <w:rFonts w:eastAsia="Times New Roman" w:cs="Arial"/>
                <w:color w:val="000000"/>
                <w:sz w:val="18"/>
                <w:szCs w:val="18"/>
              </w:rPr>
            </w:pPr>
            <w:r>
              <w:rPr>
                <w:rFonts w:eastAsia="Times New Roman" w:cs="Arial"/>
                <w:color w:val="000000"/>
                <w:sz w:val="18"/>
                <w:szCs w:val="18"/>
              </w:rPr>
              <w:t>H</w:t>
            </w:r>
            <w:r>
              <w:rPr>
                <w:rFonts w:eastAsia="Times New Roman" w:cs="Arial"/>
                <w:color w:val="000000"/>
                <w:sz w:val="18"/>
                <w:szCs w:val="18"/>
                <w:vertAlign w:val="subscript"/>
              </w:rPr>
              <w:t>2</w:t>
            </w:r>
          </w:p>
        </w:tc>
        <w:tc>
          <w:tcPr>
            <w:tcW w:w="1843" w:type="dxa"/>
            <w:shd w:val="clear" w:color="auto" w:fill="F2F2F2" w:themeFill="background1" w:themeFillShade="F2"/>
            <w:noWrap/>
            <w:vAlign w:val="center"/>
          </w:tcPr>
          <w:p>
            <w:pPr>
              <w:spacing w:line="240" w:lineRule="auto"/>
              <w:jc w:val="center"/>
              <w:rPr>
                <w:rFonts w:eastAsia="Times New Roman" w:cs="Arial"/>
                <w:color w:val="000000"/>
                <w:sz w:val="18"/>
                <w:szCs w:val="18"/>
              </w:rPr>
            </w:pPr>
            <w:r>
              <w:rPr>
                <w:rFonts w:eastAsia="Times New Roman" w:cs="Arial"/>
                <w:color w:val="000000"/>
                <w:sz w:val="18"/>
                <w:szCs w:val="18"/>
              </w:rPr>
              <w:t>0.48</w:t>
            </w:r>
          </w:p>
        </w:tc>
      </w:tr>
      <w:tr>
        <w:trPr>
          <w:trHeight w:hRule="exact" w:val="295"/>
          <w:jc w:val="center"/>
        </w:trPr>
        <w:tc>
          <w:tcPr>
            <w:tcW w:w="1809" w:type="dxa"/>
            <w:shd w:val="clear" w:color="auto" w:fill="F2F2F2" w:themeFill="background1" w:themeFillShade="F2"/>
            <w:noWrap/>
            <w:vAlign w:val="center"/>
          </w:tcPr>
          <w:p>
            <w:pPr>
              <w:spacing w:line="240" w:lineRule="auto"/>
              <w:jc w:val="left"/>
              <w:rPr>
                <w:rFonts w:eastAsia="Times New Roman" w:cs="Arial"/>
                <w:color w:val="000000"/>
                <w:sz w:val="18"/>
                <w:szCs w:val="18"/>
              </w:rPr>
            </w:pPr>
          </w:p>
        </w:tc>
        <w:tc>
          <w:tcPr>
            <w:tcW w:w="1843" w:type="dxa"/>
            <w:shd w:val="clear" w:color="auto" w:fill="F2F2F2" w:themeFill="background1" w:themeFillShade="F2"/>
            <w:vAlign w:val="center"/>
          </w:tcPr>
          <w:p>
            <w:pPr>
              <w:spacing w:line="240" w:lineRule="auto"/>
              <w:jc w:val="left"/>
              <w:rPr>
                <w:rFonts w:eastAsia="Times New Roman" w:cs="Arial"/>
                <w:color w:val="000000"/>
                <w:sz w:val="18"/>
                <w:szCs w:val="18"/>
                <w:vertAlign w:val="subscript"/>
              </w:rPr>
            </w:pPr>
            <w:r>
              <w:rPr>
                <w:rFonts w:eastAsia="Times New Roman" w:cs="Arial"/>
                <w:color w:val="000000"/>
                <w:sz w:val="18"/>
                <w:szCs w:val="18"/>
              </w:rPr>
              <w:t>CO</w:t>
            </w:r>
            <w:r>
              <w:rPr>
                <w:rFonts w:eastAsia="Times New Roman" w:cs="Arial"/>
                <w:color w:val="000000"/>
                <w:sz w:val="18"/>
                <w:szCs w:val="18"/>
                <w:vertAlign w:val="subscript"/>
              </w:rPr>
              <w:t>2</w:t>
            </w:r>
          </w:p>
        </w:tc>
        <w:tc>
          <w:tcPr>
            <w:tcW w:w="1843" w:type="dxa"/>
            <w:shd w:val="clear" w:color="auto" w:fill="F2F2F2" w:themeFill="background1" w:themeFillShade="F2"/>
            <w:noWrap/>
            <w:vAlign w:val="center"/>
          </w:tcPr>
          <w:p>
            <w:pPr>
              <w:spacing w:line="240" w:lineRule="auto"/>
              <w:jc w:val="center"/>
              <w:rPr>
                <w:rFonts w:eastAsia="Times New Roman" w:cs="Arial"/>
                <w:color w:val="000000"/>
                <w:sz w:val="18"/>
                <w:szCs w:val="18"/>
              </w:rPr>
            </w:pPr>
            <w:r>
              <w:rPr>
                <w:rFonts w:eastAsia="Times New Roman" w:cs="Arial"/>
                <w:color w:val="000000"/>
                <w:sz w:val="18"/>
                <w:szCs w:val="18"/>
              </w:rPr>
              <w:t>0.08</w:t>
            </w:r>
          </w:p>
        </w:tc>
      </w:tr>
    </w:tbl>
    <w:p>
      <w:pPr>
        <w:rPr>
          <w:lang w:val="en-US" w:eastAsia="en-ZA" w:bidi="en-US"/>
        </w:rPr>
      </w:pPr>
    </w:p>
    <w:p>
      <w:pPr>
        <w:pStyle w:val="Heading2"/>
        <w:rPr>
          <w:lang w:val="en-US" w:eastAsia="en-ZA" w:bidi="en-US"/>
        </w:rPr>
      </w:pPr>
      <w:r>
        <w:rPr>
          <w:rFonts w:cs="Arial"/>
          <w:lang w:val="en-US" w:eastAsia="en-ZA" w:bidi="en-US"/>
        </w:rPr>
        <w:t xml:space="preserve">3.3 </w:t>
      </w:r>
      <w:r>
        <w:rPr>
          <w:lang w:val="en-US" w:eastAsia="en-ZA" w:bidi="en-US"/>
        </w:rPr>
        <w:t>CFD modelling results</w:t>
      </w:r>
    </w:p>
    <w:p>
      <w:pPr>
        <w:pStyle w:val="Heading3"/>
      </w:pPr>
      <w:r>
        <w:t>3.3.1 Velocity profiles</w:t>
      </w:r>
    </w:p>
    <w:p>
      <w:pPr>
        <w:spacing w:line="480" w:lineRule="auto"/>
      </w:pPr>
      <w:r>
        <w:t xml:space="preserve">In Figure 8, the velocity distribution within the microchannel is presented for the different operative conditions (pressure and temperature) at the lowest space velocity. At the lowest reaction temperature and atmospheric pressure (Figure 8a), the axial velocity increases </w:t>
      </w:r>
      <w:r>
        <w:lastRenderedPageBreak/>
        <w:t>quickly in the channel entrance zone and remains constant at a maximum of approximately 0.41 m.s</w:t>
      </w:r>
      <w:r>
        <w:rPr>
          <w:vertAlign w:val="superscript"/>
        </w:rPr>
        <w:t>-1</w:t>
      </w:r>
      <w:r>
        <w:t>. This velocity profile is more indicative of non-reactive flow (pipe flow). Indeed, the CO</w:t>
      </w:r>
      <w:r>
        <w:rPr>
          <w:vertAlign w:val="subscript"/>
        </w:rPr>
        <w:t>2</w:t>
      </w:r>
      <w:r>
        <w:t xml:space="preserve"> conversion was very low (6.6%) at these operating conditions and so, the change in velocity profile is unnoticeable. At the same temperature and higher pressure (Figure 8b), the axial velocity initially increases to 0.41 m.s</w:t>
      </w:r>
      <w:r>
        <w:rPr>
          <w:vertAlign w:val="superscript"/>
        </w:rPr>
        <w:t>-1</w:t>
      </w:r>
      <w:r>
        <w:t xml:space="preserve"> and then a slight decrease along the reactor length is observed as the reactants are consumed at a higher rate. The stoichiometry of the Sabatier reaction dictates a net decrease in moles, and so it is expected that a higher extent of reaction (CO</w:t>
      </w:r>
      <w:r>
        <w:rPr>
          <w:vertAlign w:val="subscript"/>
        </w:rPr>
        <w:t>2</w:t>
      </w:r>
      <w:r>
        <w:t xml:space="preserve"> conversion) exhibits with a consequent reduction in velocity. The reduction in velocity is more pronounced for high-temperature and high-pressure operation as shown in Figure 8(d). In this instance, the increase in velocity is limited to the entrance region and reduces to a constant value midway along the reactor length. A low fluid velocity is observed throughout the porous catalyst washcoat.</w:t>
      </w:r>
    </w:p>
    <w:p>
      <w:pPr>
        <w:pStyle w:val="Caption"/>
        <w:jc w:val="center"/>
        <w:rPr>
          <w:b w:val="0"/>
          <w:sz w:val="18"/>
          <w:szCs w:val="18"/>
        </w:rPr>
      </w:pPr>
      <w:r>
        <w:rPr>
          <w:sz w:val="18"/>
          <w:szCs w:val="18"/>
        </w:rPr>
        <w:t xml:space="preserve">Figure 8: </w:t>
      </w:r>
      <w:r>
        <w:rPr>
          <w:b w:val="0"/>
          <w:sz w:val="18"/>
          <w:szCs w:val="18"/>
        </w:rPr>
        <w:t>Contours of the axial velocity component (v</w:t>
      </w:r>
      <w:r>
        <w:rPr>
          <w:b w:val="0"/>
          <w:sz w:val="18"/>
          <w:szCs w:val="18"/>
          <w:vertAlign w:val="subscript"/>
        </w:rPr>
        <w:t>x</w:t>
      </w:r>
      <w:r>
        <w:rPr>
          <w:b w:val="0"/>
          <w:sz w:val="18"/>
          <w:szCs w:val="18"/>
        </w:rPr>
        <w:t>) along the microchannel reactor in the x-z plane for (a) 250</w:t>
      </w:r>
      <w:r>
        <w:rPr>
          <w:rFonts w:cs="Arial"/>
          <w:b w:val="0"/>
          <w:sz w:val="18"/>
          <w:szCs w:val="18"/>
        </w:rPr>
        <w:t>°</w:t>
      </w:r>
      <w:r>
        <w:rPr>
          <w:b w:val="0"/>
          <w:sz w:val="18"/>
          <w:szCs w:val="18"/>
        </w:rPr>
        <w:t>C, atmospheric pressure (b) 250</w:t>
      </w:r>
      <w:r>
        <w:rPr>
          <w:rFonts w:cs="Arial"/>
          <w:b w:val="0"/>
          <w:sz w:val="18"/>
          <w:szCs w:val="18"/>
        </w:rPr>
        <w:t>°</w:t>
      </w:r>
      <w:r>
        <w:rPr>
          <w:b w:val="0"/>
          <w:sz w:val="18"/>
          <w:szCs w:val="18"/>
        </w:rPr>
        <w:t>C, 10 bar (c) 400</w:t>
      </w:r>
      <w:r>
        <w:rPr>
          <w:rFonts w:cs="Arial"/>
          <w:b w:val="0"/>
          <w:sz w:val="18"/>
          <w:szCs w:val="18"/>
        </w:rPr>
        <w:t>°</w:t>
      </w:r>
      <w:r>
        <w:rPr>
          <w:b w:val="0"/>
          <w:sz w:val="18"/>
          <w:szCs w:val="18"/>
        </w:rPr>
        <w:t>C, atmospheric pressure and (d) 400</w:t>
      </w:r>
      <w:r>
        <w:rPr>
          <w:rFonts w:cs="Arial"/>
          <w:b w:val="0"/>
          <w:sz w:val="18"/>
          <w:szCs w:val="18"/>
        </w:rPr>
        <w:t>°</w:t>
      </w:r>
      <w:r>
        <w:rPr>
          <w:b w:val="0"/>
          <w:sz w:val="18"/>
          <w:szCs w:val="18"/>
        </w:rPr>
        <w:t>C, 10 bar. The flow conditions correspond to the lowest space velocity where the channel inlet velocity is 0.256 m.s</w:t>
      </w:r>
      <w:r>
        <w:rPr>
          <w:b w:val="0"/>
          <w:sz w:val="18"/>
          <w:szCs w:val="18"/>
          <w:vertAlign w:val="superscript"/>
        </w:rPr>
        <w:t>-1</w:t>
      </w:r>
      <w:r>
        <w:rPr>
          <w:b w:val="0"/>
          <w:sz w:val="18"/>
          <w:szCs w:val="18"/>
        </w:rPr>
        <w:t>.</w:t>
      </w:r>
    </w:p>
    <w:p>
      <w:pPr>
        <w:pStyle w:val="Heading3"/>
      </w:pPr>
      <w:r>
        <w:t>3.3.2 Concentration profiles</w:t>
      </w:r>
    </w:p>
    <w:p>
      <w:pPr>
        <w:spacing w:line="480" w:lineRule="auto"/>
      </w:pPr>
      <w:r>
        <w:t>In this section, only the concentration profiles pertaining to high-pressure (10 bar) and high-temperature (400°C) operation are presented in Figure 9(a</w:t>
      </w:r>
      <w:r>
        <w:rPr>
          <w:rFonts w:cs="Arial"/>
        </w:rPr>
        <w:t>–</w:t>
      </w:r>
      <w:r>
        <w:t>d). The species mole fractions were observed to plateau at half-way along the channel length for low-flow conditions (Figure 9a). This also confirms the analysis from the velocity profiles, particularly Figure 8 (d). A more efficient reactor however needs to utilise the full reactor length, and high-flow conditions are required. Figure 9(b) shows that the channel length is utilised with no detrimental effect on the methane concentration at conditions corresponding to the highest space velocity (three times the lowest space velocity). The CO concentration at both low and high-flow conditions remains well below 5%. In fact, an analysis of the reaction mechanism contributions in Figure 9(c) shows the RWGS as secondary to the Sabatier reaction. The rate of CH</w:t>
      </w:r>
      <w:r>
        <w:rPr>
          <w:vertAlign w:val="subscript"/>
        </w:rPr>
        <w:t>4</w:t>
      </w:r>
      <w:r>
        <w:t xml:space="preserve"> formation is about 20 times higher than that of CO at the inlet of the channel, and tends to decrease down the length of the reactor as conversion reaches equilibrium. </w:t>
      </w:r>
      <w:r>
        <w:lastRenderedPageBreak/>
        <w:t>However, to describe the formation of CO as a by-product is still important as it contributes to the overall CO</w:t>
      </w:r>
      <w:r>
        <w:rPr>
          <w:vertAlign w:val="subscript"/>
        </w:rPr>
        <w:t>2</w:t>
      </w:r>
      <w:r>
        <w:t xml:space="preserve"> conversion. It is noteworthy to mention that the simple first-order rate law used in this investigation slightly overestimated CO formation, and we therefore suggest that equilibrium-limited kinetics such as Langmuir-Hinshelwood type is used in future work. Figure 9(d) shows the methane concentration profiles flattening away from the channel inlet indicating the importance of the reaction zone at the inlet relative to the far-field reaction zones.</w:t>
      </w:r>
    </w:p>
    <w:p>
      <w:pPr>
        <w:spacing w:line="480" w:lineRule="auto"/>
        <w:jc w:val="center"/>
        <w:rPr>
          <w:rFonts w:cs="Arial"/>
          <w:sz w:val="18"/>
          <w:szCs w:val="18"/>
          <w:lang w:val="en-US" w:eastAsia="en-ZA" w:bidi="en-US"/>
        </w:rPr>
      </w:pPr>
      <w:r>
        <w:rPr>
          <w:b/>
          <w:sz w:val="18"/>
          <w:szCs w:val="18"/>
        </w:rPr>
        <w:t>Figure 9:</w:t>
      </w:r>
      <w:r>
        <w:rPr>
          <w:sz w:val="18"/>
          <w:szCs w:val="18"/>
        </w:rPr>
        <w:t xml:space="preserve"> Concentration profiles along reactor length in terms of (a) species mole fraction (d.b) at </w:t>
      </w:r>
      <w:r>
        <w:rPr>
          <w:sz w:val="18"/>
          <w:lang w:val="en-US" w:eastAsia="en-ZA" w:bidi="en-US"/>
        </w:rPr>
        <w:t>32.6 L.g</w:t>
      </w:r>
      <w:r>
        <w:rPr>
          <w:sz w:val="18"/>
          <w:vertAlign w:val="subscript"/>
          <w:lang w:val="en-US" w:eastAsia="en-ZA" w:bidi="en-US"/>
        </w:rPr>
        <w:t>cat</w:t>
      </w:r>
      <w:r>
        <w:rPr>
          <w:sz w:val="18"/>
          <w:vertAlign w:val="superscript"/>
          <w:lang w:val="en-US" w:eastAsia="en-ZA" w:bidi="en-US"/>
        </w:rPr>
        <w:t>-1</w:t>
      </w:r>
      <w:r>
        <w:rPr>
          <w:sz w:val="18"/>
          <w:lang w:val="en-US" w:eastAsia="en-ZA" w:bidi="en-US"/>
        </w:rPr>
        <w:t>.h</w:t>
      </w:r>
      <w:r>
        <w:rPr>
          <w:sz w:val="18"/>
          <w:vertAlign w:val="superscript"/>
          <w:lang w:val="en-US" w:eastAsia="en-ZA" w:bidi="en-US"/>
        </w:rPr>
        <w:t>-1</w:t>
      </w:r>
      <w:r>
        <w:rPr>
          <w:sz w:val="18"/>
          <w:szCs w:val="18"/>
        </w:rPr>
        <w:t xml:space="preserve"> (b) species mole fraction (d.b) at </w:t>
      </w:r>
      <w:r>
        <w:rPr>
          <w:sz w:val="18"/>
          <w:lang w:val="en-US" w:eastAsia="en-ZA" w:bidi="en-US"/>
        </w:rPr>
        <w:t>97.8 L.g</w:t>
      </w:r>
      <w:r>
        <w:rPr>
          <w:sz w:val="18"/>
          <w:vertAlign w:val="subscript"/>
          <w:lang w:val="en-US" w:eastAsia="en-ZA" w:bidi="en-US"/>
        </w:rPr>
        <w:t>cat</w:t>
      </w:r>
      <w:r>
        <w:rPr>
          <w:sz w:val="18"/>
          <w:vertAlign w:val="superscript"/>
          <w:lang w:val="en-US" w:eastAsia="en-ZA" w:bidi="en-US"/>
        </w:rPr>
        <w:t>-1</w:t>
      </w:r>
      <w:r>
        <w:rPr>
          <w:sz w:val="18"/>
          <w:lang w:val="en-US" w:eastAsia="en-ZA" w:bidi="en-US"/>
        </w:rPr>
        <w:t>.h</w:t>
      </w:r>
      <w:r>
        <w:rPr>
          <w:sz w:val="18"/>
          <w:vertAlign w:val="superscript"/>
          <w:lang w:val="en-US" w:eastAsia="en-ZA" w:bidi="en-US"/>
        </w:rPr>
        <w:t>-1</w:t>
      </w:r>
      <w:r>
        <w:rPr>
          <w:sz w:val="18"/>
          <w:szCs w:val="18"/>
        </w:rPr>
        <w:t xml:space="preserve"> (c) reaction rate at </w:t>
      </w:r>
      <w:r>
        <w:rPr>
          <w:sz w:val="18"/>
          <w:lang w:val="en-US" w:eastAsia="en-ZA" w:bidi="en-US"/>
        </w:rPr>
        <w:t>97.8 L.g</w:t>
      </w:r>
      <w:r>
        <w:rPr>
          <w:sz w:val="18"/>
          <w:vertAlign w:val="subscript"/>
          <w:lang w:val="en-US" w:eastAsia="en-ZA" w:bidi="en-US"/>
        </w:rPr>
        <w:t>cat</w:t>
      </w:r>
      <w:r>
        <w:rPr>
          <w:sz w:val="18"/>
          <w:vertAlign w:val="superscript"/>
          <w:lang w:val="en-US" w:eastAsia="en-ZA" w:bidi="en-US"/>
        </w:rPr>
        <w:t>-1</w:t>
      </w:r>
      <w:r>
        <w:rPr>
          <w:sz w:val="18"/>
          <w:lang w:val="en-US" w:eastAsia="en-ZA" w:bidi="en-US"/>
        </w:rPr>
        <w:t>.h</w:t>
      </w:r>
      <w:r>
        <w:rPr>
          <w:sz w:val="18"/>
          <w:vertAlign w:val="superscript"/>
          <w:lang w:val="en-US" w:eastAsia="en-ZA" w:bidi="en-US"/>
        </w:rPr>
        <w:t>-1</w:t>
      </w:r>
      <w:r>
        <w:rPr>
          <w:sz w:val="18"/>
          <w:szCs w:val="18"/>
        </w:rPr>
        <w:t xml:space="preserve"> and (d) methane concentration as a function of channel height (z/H) at different axial locations (x = 10, 100, 300 and 500 </w:t>
      </w:r>
      <w:r>
        <w:rPr>
          <w:rFonts w:cs="Arial"/>
          <w:sz w:val="18"/>
          <w:szCs w:val="18"/>
        </w:rPr>
        <w:t>µ</w:t>
      </w:r>
      <w:r>
        <w:rPr>
          <w:sz w:val="18"/>
          <w:szCs w:val="18"/>
        </w:rPr>
        <w:t xml:space="preserve">m) from channel inlet at </w:t>
      </w:r>
      <w:r>
        <w:rPr>
          <w:sz w:val="18"/>
          <w:lang w:val="en-US" w:eastAsia="en-ZA" w:bidi="en-US"/>
        </w:rPr>
        <w:t>97.8 L.g</w:t>
      </w:r>
      <w:r>
        <w:rPr>
          <w:sz w:val="18"/>
          <w:vertAlign w:val="subscript"/>
          <w:lang w:val="en-US" w:eastAsia="en-ZA" w:bidi="en-US"/>
        </w:rPr>
        <w:t>cat</w:t>
      </w:r>
      <w:r>
        <w:rPr>
          <w:sz w:val="18"/>
          <w:vertAlign w:val="superscript"/>
          <w:lang w:val="en-US" w:eastAsia="en-ZA" w:bidi="en-US"/>
        </w:rPr>
        <w:t>-1</w:t>
      </w:r>
      <w:r>
        <w:rPr>
          <w:sz w:val="18"/>
          <w:lang w:val="en-US" w:eastAsia="en-ZA" w:bidi="en-US"/>
        </w:rPr>
        <w:t>.h</w:t>
      </w:r>
      <w:r>
        <w:rPr>
          <w:sz w:val="18"/>
          <w:vertAlign w:val="superscript"/>
          <w:lang w:val="en-US" w:eastAsia="en-ZA" w:bidi="en-US"/>
        </w:rPr>
        <w:t>-1</w:t>
      </w:r>
      <w:r>
        <w:rPr>
          <w:sz w:val="18"/>
          <w:szCs w:val="18"/>
        </w:rPr>
        <w:t>. The reaction conditions represent operation at 400</w:t>
      </w:r>
      <w:r>
        <w:rPr>
          <w:rFonts w:cs="Arial"/>
          <w:sz w:val="18"/>
          <w:szCs w:val="18"/>
        </w:rPr>
        <w:t>°</w:t>
      </w:r>
      <w:r>
        <w:rPr>
          <w:sz w:val="18"/>
          <w:szCs w:val="18"/>
        </w:rPr>
        <w:t>C and 10 bar.</w:t>
      </w:r>
    </w:p>
    <w:p>
      <w:pPr>
        <w:pStyle w:val="Heading1"/>
        <w:rPr>
          <w:lang w:val="en-US" w:eastAsia="en-ZA" w:bidi="en-US"/>
        </w:rPr>
      </w:pPr>
      <w:r>
        <w:rPr>
          <w:rFonts w:cs="Arial"/>
          <w:lang w:val="en-US" w:eastAsia="en-ZA" w:bidi="en-US"/>
        </w:rPr>
        <w:t xml:space="preserve">4. </w:t>
      </w:r>
      <w:r>
        <w:rPr>
          <w:lang w:val="en-US" w:eastAsia="en-ZA" w:bidi="en-US"/>
        </w:rPr>
        <w:t>Conclusions</w:t>
      </w:r>
    </w:p>
    <w:p>
      <w:pPr>
        <w:spacing w:line="480" w:lineRule="auto"/>
      </w:pPr>
      <w:r>
        <w:tab/>
        <w:t>This investigation aimed at evaluating and demonstrating a microchannel reactor for the methanation of CO</w:t>
      </w:r>
      <w:r>
        <w:rPr>
          <w:vertAlign w:val="subscript"/>
        </w:rPr>
        <w:t>2</w:t>
      </w:r>
      <w:r>
        <w:t xml:space="preserve"> at different operational conditions. The reactor showed good performance in terms of CO</w:t>
      </w:r>
      <w:r>
        <w:rPr>
          <w:vertAlign w:val="subscript"/>
        </w:rPr>
        <w:t>2</w:t>
      </w:r>
      <w:r>
        <w:t xml:space="preserve"> conversion and CH</w:t>
      </w:r>
      <w:r>
        <w:rPr>
          <w:vertAlign w:val="subscript"/>
        </w:rPr>
        <w:t>4</w:t>
      </w:r>
      <w:r>
        <w:t xml:space="preserve"> yield with the best results obtained at 10 bar and 375°C for the lowest GHSV (32.6 L.g</w:t>
      </w:r>
      <w:r>
        <w:rPr>
          <w:vertAlign w:val="subscript"/>
        </w:rPr>
        <w:t>cat</w:t>
      </w:r>
      <w:r>
        <w:rPr>
          <w:vertAlign w:val="superscript"/>
        </w:rPr>
        <w:t>-1</w:t>
      </w:r>
      <w:r>
        <w:t>.h</w:t>
      </w:r>
      <w:r>
        <w:rPr>
          <w:vertAlign w:val="superscript"/>
        </w:rPr>
        <w:t>-1</w:t>
      </w:r>
      <w:r>
        <w:t xml:space="preserve">) investigated. At these reaction conditions, a </w:t>
      </w:r>
      <w:r>
        <w:rPr>
          <w:lang w:val="en-US" w:eastAsia="en-ZA" w:bidi="en-US"/>
        </w:rPr>
        <w:t>CO</w:t>
      </w:r>
      <w:r>
        <w:rPr>
          <w:vertAlign w:val="subscript"/>
          <w:lang w:val="en-US" w:eastAsia="en-ZA" w:bidi="en-US"/>
        </w:rPr>
        <w:t>2</w:t>
      </w:r>
      <w:r>
        <w:rPr>
          <w:lang w:val="en-US" w:eastAsia="en-ZA" w:bidi="en-US"/>
        </w:rPr>
        <w:t xml:space="preserve"> conversion and CH</w:t>
      </w:r>
      <w:r>
        <w:rPr>
          <w:vertAlign w:val="subscript"/>
          <w:lang w:val="en-US" w:eastAsia="en-ZA" w:bidi="en-US"/>
        </w:rPr>
        <w:t>4</w:t>
      </w:r>
      <w:r>
        <w:rPr>
          <w:lang w:val="en-US" w:eastAsia="en-ZA" w:bidi="en-US"/>
        </w:rPr>
        <w:t xml:space="preserve"> yield of 96.8% and 97.5% was attained, respectively. The recommended operating point was however selected as that at which the maximum methane productivity was produced i.e. a high space velocity </w:t>
      </w:r>
      <w:r>
        <w:t>(97.8 L.g</w:t>
      </w:r>
      <w:r>
        <w:rPr>
          <w:vertAlign w:val="subscript"/>
        </w:rPr>
        <w:t>cat</w:t>
      </w:r>
      <w:r>
        <w:rPr>
          <w:vertAlign w:val="superscript"/>
        </w:rPr>
        <w:t>-1</w:t>
      </w:r>
      <w:r>
        <w:t>.h</w:t>
      </w:r>
      <w:r>
        <w:rPr>
          <w:vertAlign w:val="superscript"/>
        </w:rPr>
        <w:t>-1</w:t>
      </w:r>
      <w:r>
        <w:t>), 5 bar and 400°C. The microchannel reactor could produce methane at 16.9 L.g</w:t>
      </w:r>
      <w:r>
        <w:rPr>
          <w:vertAlign w:val="subscript"/>
        </w:rPr>
        <w:t>cat</w:t>
      </w:r>
      <w:r>
        <w:rPr>
          <w:vertAlign w:val="superscript"/>
        </w:rPr>
        <w:t>-1</w:t>
      </w:r>
      <w:r>
        <w:t>.h</w:t>
      </w:r>
      <w:r>
        <w:rPr>
          <w:vertAlign w:val="superscript"/>
        </w:rPr>
        <w:t>-1</w:t>
      </w:r>
      <w:r>
        <w:t xml:space="preserve"> and still show a CO</w:t>
      </w:r>
      <w:r>
        <w:rPr>
          <w:vertAlign w:val="subscript"/>
        </w:rPr>
        <w:t>2</w:t>
      </w:r>
      <w:r>
        <w:t xml:space="preserve"> conversion of 83.4% at the recommended operating point. A CFD model was developed to provide important insight into reaction-coupled fluid flow and mass transport phenomena within the microchannel reactor. The Sabatier and RWGS kinetics were used to quantify the formation of CH</w:t>
      </w:r>
      <w:r>
        <w:rPr>
          <w:vertAlign w:val="subscript"/>
        </w:rPr>
        <w:t>4</w:t>
      </w:r>
      <w:r>
        <w:t xml:space="preserve"> and CO at different operative conditions, respectively. The RWGS was seen to be secondary to the Sabatier reaction for all operating conditions. High-temperature and high-pressure conditions were observed to yield favourable flow characteristics and concentration profiles. High-flow conditions were deemed necessary to </w:t>
      </w:r>
      <w:r>
        <w:lastRenderedPageBreak/>
        <w:t>achieve an efficient reactor that utilises the entire reactor length. Whilst the stoichiometric H</w:t>
      </w:r>
      <w:r>
        <w:rPr>
          <w:vertAlign w:val="subscript"/>
        </w:rPr>
        <w:t>2</w:t>
      </w:r>
      <w:r>
        <w:t>/CO</w:t>
      </w:r>
      <w:r>
        <w:rPr>
          <w:vertAlign w:val="subscript"/>
        </w:rPr>
        <w:t>2</w:t>
      </w:r>
      <w:r>
        <w:t xml:space="preserve"> feed ratio provided the best CO</w:t>
      </w:r>
      <w:r>
        <w:rPr>
          <w:vertAlign w:val="subscript"/>
        </w:rPr>
        <w:t>2</w:t>
      </w:r>
      <w:r>
        <w:t xml:space="preserve"> conversion, more efficient use of hydrogen could be obtained at a lower feed ratio. Overall, the results presented in this paper pinpointed on the important aspects of realizing CO</w:t>
      </w:r>
      <w:r>
        <w:rPr>
          <w:vertAlign w:val="subscript"/>
        </w:rPr>
        <w:t>2</w:t>
      </w:r>
      <w:r>
        <w:t xml:space="preserve"> methanation at the micro-scale and could provide a platform for further optimization studies. </w:t>
      </w:r>
    </w:p>
    <w:p>
      <w:pPr>
        <w:pStyle w:val="Heading1"/>
        <w:rPr>
          <w:rFonts w:cs="Arial"/>
          <w:lang w:val="en-US" w:eastAsia="en-ZA" w:bidi="en-US"/>
        </w:rPr>
      </w:pPr>
      <w:r>
        <w:rPr>
          <w:rFonts w:cs="Arial"/>
          <w:lang w:val="en-US" w:eastAsia="en-ZA" w:bidi="en-US"/>
        </w:rPr>
        <w:t>Acknowledgement</w:t>
      </w:r>
    </w:p>
    <w:p>
      <w:pPr>
        <w:spacing w:line="480" w:lineRule="auto"/>
        <w:rPr>
          <w:rFonts w:ascii="AdvCaeciliaRm" w:hAnsi="AdvCaeciliaRm" w:cs="AdvCaeciliaRm"/>
          <w:sz w:val="16"/>
          <w:szCs w:val="16"/>
          <w:lang w:val="en-ZA" w:eastAsia="en-ZA"/>
        </w:rPr>
      </w:pPr>
      <w:r>
        <w:rPr>
          <w:lang w:val="en-US" w:eastAsia="en-ZA" w:bidi="en-US"/>
        </w:rPr>
        <w:t xml:space="preserve">The authors wish to thank the Department of Science and Technology (DST) HySA Infrastructure Centre of Competence and the North-West University, South Africa, for their financial </w:t>
      </w:r>
      <w:r>
        <w:rPr>
          <w:rFonts w:cs="Arial"/>
          <w:lang w:val="en-US" w:eastAsia="en-ZA" w:bidi="en-US"/>
        </w:rPr>
        <w:t xml:space="preserve">support </w:t>
      </w:r>
      <w:r>
        <w:rPr>
          <w:rFonts w:cs="Arial"/>
          <w:lang w:val="en-ZA" w:eastAsia="en-ZA"/>
        </w:rPr>
        <w:t>(under the following Grant numbers: KP5-I05-Chemical Hydrogen Production Technologies; KP4-Hydrogen Fuelling Options; NRF grant 85309). In addition, we wish to thank Dr Ralf Zapf (Fraunhofer-ICT-IMM, Mainz, Germany) for his insight in developing and fabricating the microchannel reactor used in this investigation.</w:t>
      </w:r>
    </w:p>
    <w:p>
      <w:pPr>
        <w:pStyle w:val="Heading1"/>
        <w:rPr>
          <w:lang w:val="en-US" w:eastAsia="en-ZA" w:bidi="en-US"/>
        </w:rPr>
      </w:pPr>
      <w:r>
        <w:rPr>
          <w:lang w:val="en-US" w:eastAsia="en-ZA" w:bidi="en-US"/>
        </w:rPr>
        <w:t>References</w:t>
      </w:r>
    </w:p>
    <w:p>
      <w:pPr>
        <w:widowControl w:val="0"/>
        <w:autoSpaceDE w:val="0"/>
        <w:autoSpaceDN w:val="0"/>
        <w:adjustRightInd w:val="0"/>
        <w:ind w:left="640" w:hanging="640"/>
        <w:rPr>
          <w:rFonts w:cs="Arial"/>
          <w:noProof/>
          <w:szCs w:val="24"/>
        </w:rPr>
      </w:pPr>
      <w:r>
        <w:rPr>
          <w:lang w:val="en-US" w:eastAsia="en-ZA" w:bidi="en-US"/>
        </w:rPr>
        <w:fldChar w:fldCharType="begin" w:fldLock="1"/>
      </w:r>
      <w:r>
        <w:rPr>
          <w:lang w:val="en-US" w:eastAsia="en-ZA" w:bidi="en-US"/>
        </w:rPr>
        <w:instrText xml:space="preserve">ADDIN Mendeley Bibliography CSL_BIBLIOGRAPHY </w:instrText>
      </w:r>
      <w:r>
        <w:rPr>
          <w:lang w:val="en-US" w:eastAsia="en-ZA" w:bidi="en-US"/>
        </w:rPr>
        <w:fldChar w:fldCharType="separate"/>
      </w:r>
      <w:r>
        <w:rPr>
          <w:rFonts w:cs="Arial"/>
          <w:noProof/>
          <w:szCs w:val="24"/>
        </w:rPr>
        <w:t>[1]</w:t>
      </w:r>
      <w:r>
        <w:rPr>
          <w:rFonts w:cs="Arial"/>
          <w:noProof/>
          <w:szCs w:val="24"/>
        </w:rPr>
        <w:tab/>
        <w:t>A. Varone, M. Ferrari, Power to liquid and power to gas: An option for the German Energiewende, Renew. Sustain. Energy Rev. 45 (2015) 207–218. doi:10.1016/j.rser.2015.01.049.</w:t>
      </w:r>
    </w:p>
    <w:p>
      <w:pPr>
        <w:widowControl w:val="0"/>
        <w:autoSpaceDE w:val="0"/>
        <w:autoSpaceDN w:val="0"/>
        <w:adjustRightInd w:val="0"/>
        <w:ind w:left="640" w:hanging="640"/>
        <w:rPr>
          <w:rFonts w:cs="Arial"/>
          <w:noProof/>
          <w:szCs w:val="24"/>
        </w:rPr>
      </w:pPr>
      <w:r>
        <w:rPr>
          <w:rFonts w:cs="Arial"/>
          <w:noProof/>
          <w:szCs w:val="24"/>
        </w:rPr>
        <w:t>[2]</w:t>
      </w:r>
      <w:r>
        <w:rPr>
          <w:rFonts w:cs="Arial"/>
          <w:noProof/>
          <w:szCs w:val="24"/>
        </w:rPr>
        <w:tab/>
        <w:t>M. De Saint Jean, P. Baurens, C. Bouallou, K. Couturier, Economic assessment of a power-to-substitute-natural-gas process including high-temperature steam electrolysis, Int. J. Hydrogen Energy. 40 (2015) 6487–6500. doi:10.1016/j.ijhydene.2015.03.066.</w:t>
      </w:r>
    </w:p>
    <w:p>
      <w:pPr>
        <w:widowControl w:val="0"/>
        <w:autoSpaceDE w:val="0"/>
        <w:autoSpaceDN w:val="0"/>
        <w:adjustRightInd w:val="0"/>
        <w:ind w:left="640" w:hanging="640"/>
        <w:rPr>
          <w:rFonts w:cs="Arial"/>
          <w:noProof/>
          <w:szCs w:val="24"/>
        </w:rPr>
      </w:pPr>
      <w:r>
        <w:rPr>
          <w:rFonts w:cs="Arial"/>
          <w:noProof/>
          <w:szCs w:val="24"/>
        </w:rPr>
        <w:t>[3]</w:t>
      </w:r>
      <w:r>
        <w:rPr>
          <w:rFonts w:cs="Arial"/>
          <w:noProof/>
          <w:szCs w:val="24"/>
        </w:rPr>
        <w:tab/>
        <w:t>T. Schaaf, J. Grünig, M.R. Schuster, T. Rothenfluh, A. Orth, Methanation of CO2 - storage of renewable energy in a gas distribution system, Energy. Sustain. Soc. 4 (2014) 1–14. doi:10.1186/s13705-014-0029-1.</w:t>
      </w:r>
    </w:p>
    <w:p>
      <w:pPr>
        <w:widowControl w:val="0"/>
        <w:autoSpaceDE w:val="0"/>
        <w:autoSpaceDN w:val="0"/>
        <w:adjustRightInd w:val="0"/>
        <w:ind w:left="640" w:hanging="640"/>
        <w:rPr>
          <w:rFonts w:cs="Arial"/>
          <w:noProof/>
          <w:szCs w:val="24"/>
        </w:rPr>
      </w:pPr>
      <w:r>
        <w:rPr>
          <w:rFonts w:cs="Arial"/>
          <w:noProof/>
          <w:szCs w:val="24"/>
        </w:rPr>
        <w:t>[4]</w:t>
      </w:r>
      <w:r>
        <w:rPr>
          <w:rFonts w:cs="Arial"/>
          <w:noProof/>
          <w:szCs w:val="24"/>
        </w:rPr>
        <w:tab/>
        <w:t xml:space="preserve">M. Sterner, Bioenergy and renewable power methane in integrated 100% renewable energy systems. Limiting global warming by transforming energy systems, (dissertation) University of Kassel 2009. </w:t>
      </w:r>
    </w:p>
    <w:p>
      <w:pPr>
        <w:widowControl w:val="0"/>
        <w:autoSpaceDE w:val="0"/>
        <w:autoSpaceDN w:val="0"/>
        <w:adjustRightInd w:val="0"/>
        <w:ind w:left="640" w:hanging="640"/>
        <w:rPr>
          <w:rFonts w:cs="Arial"/>
          <w:noProof/>
          <w:szCs w:val="24"/>
        </w:rPr>
      </w:pPr>
      <w:r>
        <w:rPr>
          <w:rFonts w:cs="Arial"/>
          <w:noProof/>
          <w:szCs w:val="24"/>
        </w:rPr>
        <w:t>[5]</w:t>
      </w:r>
      <w:r>
        <w:rPr>
          <w:rFonts w:cs="Arial"/>
          <w:noProof/>
          <w:szCs w:val="24"/>
        </w:rPr>
        <w:tab/>
        <w:t xml:space="preserve">S. Schiebahn, T. Grube, M. Robinius, V. Tietze, B. Kumar, D. Stolten, Power to gas: Technological overview, systems analysis and economic assessment for a case study </w:t>
      </w:r>
      <w:r>
        <w:rPr>
          <w:rFonts w:cs="Arial"/>
          <w:noProof/>
          <w:szCs w:val="24"/>
        </w:rPr>
        <w:lastRenderedPageBreak/>
        <w:t>in Germany, Int. J. Hydrogen Energy. 40 (2015) 4285–4294. doi:10.1016/j.ijhydene.2015.01.123.</w:t>
      </w:r>
    </w:p>
    <w:p>
      <w:pPr>
        <w:widowControl w:val="0"/>
        <w:autoSpaceDE w:val="0"/>
        <w:autoSpaceDN w:val="0"/>
        <w:adjustRightInd w:val="0"/>
        <w:ind w:left="640" w:hanging="640"/>
        <w:rPr>
          <w:rFonts w:cs="Arial"/>
          <w:noProof/>
          <w:szCs w:val="24"/>
        </w:rPr>
      </w:pPr>
      <w:r>
        <w:rPr>
          <w:rFonts w:cs="Arial"/>
          <w:noProof/>
          <w:szCs w:val="24"/>
        </w:rPr>
        <w:t>[6]</w:t>
      </w:r>
      <w:r>
        <w:rPr>
          <w:rFonts w:cs="Arial"/>
          <w:noProof/>
          <w:szCs w:val="24"/>
        </w:rPr>
        <w:tab/>
        <w:t>A. Bensmann, R. Hanke-Rauschenbach, R. Heyer, F. Kohrs, D. Benndorf, U. Reichl, K. Sundmacher, Biological methanation of hydrogen within biogas plants: A model-based feasibility study, Appl. Energy. 134 (2014) 413–425. doi:10.1016/j.apenergy.2014.08.047.</w:t>
      </w:r>
    </w:p>
    <w:p>
      <w:pPr>
        <w:widowControl w:val="0"/>
        <w:autoSpaceDE w:val="0"/>
        <w:autoSpaceDN w:val="0"/>
        <w:adjustRightInd w:val="0"/>
        <w:ind w:left="640" w:hanging="640"/>
        <w:rPr>
          <w:rFonts w:cs="Arial"/>
          <w:noProof/>
          <w:szCs w:val="24"/>
        </w:rPr>
      </w:pPr>
      <w:r>
        <w:rPr>
          <w:rFonts w:cs="Arial"/>
          <w:noProof/>
          <w:szCs w:val="24"/>
        </w:rPr>
        <w:t>[7]</w:t>
      </w:r>
      <w:r>
        <w:rPr>
          <w:rFonts w:cs="Arial"/>
          <w:noProof/>
          <w:szCs w:val="24"/>
        </w:rPr>
        <w:tab/>
        <w:t>S.K. Hoekman, A. Broch, C. Robbins, R. Purcell, CO2 recycling by reaction with renewably-generated hydrogen, Int. J. Greenh. Gas Control. 4 (2010) 44–50. doi:10.1016/j.ijggc.2009.09.012.</w:t>
      </w:r>
    </w:p>
    <w:p>
      <w:pPr>
        <w:widowControl w:val="0"/>
        <w:autoSpaceDE w:val="0"/>
        <w:autoSpaceDN w:val="0"/>
        <w:adjustRightInd w:val="0"/>
        <w:ind w:left="640" w:hanging="640"/>
        <w:rPr>
          <w:rFonts w:cs="Arial"/>
          <w:noProof/>
          <w:szCs w:val="24"/>
        </w:rPr>
      </w:pPr>
      <w:r>
        <w:rPr>
          <w:rFonts w:cs="Arial"/>
          <w:noProof/>
          <w:szCs w:val="24"/>
        </w:rPr>
        <w:t>[8]</w:t>
      </w:r>
      <w:r>
        <w:rPr>
          <w:rFonts w:cs="Arial"/>
          <w:noProof/>
          <w:szCs w:val="24"/>
        </w:rPr>
        <w:tab/>
        <w:t>S. Walspurger, G.D. Elzinga, J.W. Dijkstra, M. Sarić, W.G. Haije, Sorption enhanced methanation for substitute natural gas production: Experimental results and thermodynamic considerations, Chem. Eng. J. 242 (2014) 379–386. doi:10.1016/j.cej.2013.12.045.</w:t>
      </w:r>
    </w:p>
    <w:p>
      <w:pPr>
        <w:widowControl w:val="0"/>
        <w:autoSpaceDE w:val="0"/>
        <w:autoSpaceDN w:val="0"/>
        <w:adjustRightInd w:val="0"/>
        <w:ind w:left="640" w:hanging="640"/>
        <w:rPr>
          <w:rFonts w:cs="Arial"/>
          <w:noProof/>
          <w:szCs w:val="24"/>
        </w:rPr>
      </w:pPr>
      <w:r>
        <w:rPr>
          <w:rFonts w:cs="Arial"/>
          <w:noProof/>
          <w:szCs w:val="24"/>
        </w:rPr>
        <w:t>[9]</w:t>
      </w:r>
      <w:r>
        <w:rPr>
          <w:rFonts w:cs="Arial"/>
          <w:noProof/>
          <w:szCs w:val="24"/>
        </w:rPr>
        <w:tab/>
        <w:t>L. Yang, X. Ge, C. Wan, F. Yu, Y. Li, Progress and perspectives in converting biogas to transportation fuels, Renew. Sustain. Energy Rev. 40 (2014) 1133–1152. doi:10.1016/j.rser.2014.08.008.</w:t>
      </w:r>
    </w:p>
    <w:p>
      <w:pPr>
        <w:widowControl w:val="0"/>
        <w:autoSpaceDE w:val="0"/>
        <w:autoSpaceDN w:val="0"/>
        <w:adjustRightInd w:val="0"/>
        <w:ind w:left="640" w:hanging="640"/>
        <w:rPr>
          <w:rFonts w:cs="Arial"/>
          <w:noProof/>
          <w:szCs w:val="24"/>
        </w:rPr>
      </w:pPr>
      <w:r>
        <w:rPr>
          <w:rFonts w:cs="Arial"/>
          <w:noProof/>
          <w:szCs w:val="24"/>
        </w:rPr>
        <w:t>[10]</w:t>
      </w:r>
      <w:r>
        <w:rPr>
          <w:rFonts w:cs="Arial"/>
          <w:noProof/>
          <w:szCs w:val="24"/>
        </w:rPr>
        <w:tab/>
        <w:t>J. Vandewalle, K. Bruninx, W. D’Haeseleer, Effects of large-scale power to gas conversion on the power, gas and carbon sectors and their interactions, Energy Convers. Manag. 94 (2015) 28–39. doi:10.1016/j.enconman.2015.01.038.</w:t>
      </w:r>
    </w:p>
    <w:p>
      <w:pPr>
        <w:widowControl w:val="0"/>
        <w:autoSpaceDE w:val="0"/>
        <w:autoSpaceDN w:val="0"/>
        <w:adjustRightInd w:val="0"/>
        <w:ind w:left="640" w:hanging="640"/>
        <w:rPr>
          <w:rFonts w:cs="Arial"/>
          <w:noProof/>
          <w:szCs w:val="24"/>
        </w:rPr>
      </w:pPr>
      <w:r>
        <w:rPr>
          <w:rFonts w:cs="Arial"/>
          <w:noProof/>
          <w:szCs w:val="24"/>
        </w:rPr>
        <w:t>[11]</w:t>
      </w:r>
      <w:r>
        <w:rPr>
          <w:rFonts w:cs="Arial"/>
          <w:noProof/>
          <w:szCs w:val="24"/>
        </w:rPr>
        <w:tab/>
        <w:t>F. Rossi, B. Castellani, E. Morini, L. Di Giovanna, N. Corsi, M. Giuliobello, A. Nicolini, Experimental apparatus for solar energy storage via methane production, in: Third South. African Sol. Energy Conf., Kruger National Park, South Africa, 2014: pp. 341–346.</w:t>
      </w:r>
    </w:p>
    <w:p>
      <w:pPr>
        <w:widowControl w:val="0"/>
        <w:autoSpaceDE w:val="0"/>
        <w:autoSpaceDN w:val="0"/>
        <w:adjustRightInd w:val="0"/>
        <w:ind w:left="640" w:hanging="640"/>
        <w:rPr>
          <w:rFonts w:cs="Arial"/>
          <w:noProof/>
          <w:szCs w:val="24"/>
        </w:rPr>
      </w:pPr>
      <w:r>
        <w:rPr>
          <w:rFonts w:cs="Arial"/>
          <w:noProof/>
          <w:szCs w:val="24"/>
        </w:rPr>
        <w:t>[12]</w:t>
      </w:r>
      <w:r>
        <w:rPr>
          <w:rFonts w:cs="Arial"/>
          <w:noProof/>
          <w:szCs w:val="24"/>
        </w:rPr>
        <w:tab/>
        <w:t>W.A.W. Abu Bakar, R. Ali, S. Toemen, Catalytic methanation reaction over supported nickel-ruthenium oxide base for purification of simulated natural gas, Sci. Iran. 19 (2012) 525–534. doi:10.1016/j.scient.2012.02.004.</w:t>
      </w:r>
    </w:p>
    <w:p>
      <w:pPr>
        <w:widowControl w:val="0"/>
        <w:autoSpaceDE w:val="0"/>
        <w:autoSpaceDN w:val="0"/>
        <w:adjustRightInd w:val="0"/>
        <w:ind w:left="640" w:hanging="640"/>
        <w:rPr>
          <w:rFonts w:cs="Arial"/>
          <w:noProof/>
          <w:szCs w:val="24"/>
        </w:rPr>
      </w:pPr>
      <w:r>
        <w:rPr>
          <w:rFonts w:cs="Arial"/>
          <w:noProof/>
          <w:szCs w:val="24"/>
        </w:rPr>
        <w:t>[13]</w:t>
      </w:r>
      <w:r>
        <w:rPr>
          <w:rFonts w:cs="Arial"/>
          <w:noProof/>
          <w:szCs w:val="24"/>
        </w:rPr>
        <w:tab/>
        <w:t>G. Garbarino, P. Riani, L. Magistri, G. Busca, A study of the methanation of carbon dioxide on Ni/Al2O3 catalysts at atmospheric pressure, Int. J. Hydrogen Energy. 39 (2014) 11557–11565. doi:10.1016/j.ijhydene.2014.05.111.</w:t>
      </w:r>
    </w:p>
    <w:p>
      <w:pPr>
        <w:widowControl w:val="0"/>
        <w:autoSpaceDE w:val="0"/>
        <w:autoSpaceDN w:val="0"/>
        <w:adjustRightInd w:val="0"/>
        <w:ind w:left="640" w:hanging="640"/>
        <w:rPr>
          <w:rFonts w:cs="Arial"/>
          <w:noProof/>
          <w:szCs w:val="24"/>
        </w:rPr>
      </w:pPr>
      <w:r>
        <w:rPr>
          <w:rFonts w:cs="Arial"/>
          <w:noProof/>
          <w:szCs w:val="24"/>
        </w:rPr>
        <w:t>[14]</w:t>
      </w:r>
      <w:r>
        <w:rPr>
          <w:rFonts w:cs="Arial"/>
          <w:noProof/>
          <w:szCs w:val="24"/>
        </w:rPr>
        <w:tab/>
        <w:t>D. Pandey, G. Deo, Effect of support on the catalytic activity of supported Ni-Fe catalysts for the CO2 methanation reaction, J. Ind. Eng. Chem. (2015). doi:10.1016/j.jiec.2015.09.019.</w:t>
      </w:r>
    </w:p>
    <w:p>
      <w:pPr>
        <w:widowControl w:val="0"/>
        <w:autoSpaceDE w:val="0"/>
        <w:autoSpaceDN w:val="0"/>
        <w:adjustRightInd w:val="0"/>
        <w:ind w:left="640" w:hanging="640"/>
        <w:rPr>
          <w:rFonts w:cs="Arial"/>
          <w:noProof/>
          <w:szCs w:val="24"/>
        </w:rPr>
      </w:pPr>
      <w:r>
        <w:rPr>
          <w:rFonts w:cs="Arial"/>
          <w:noProof/>
          <w:szCs w:val="24"/>
        </w:rPr>
        <w:lastRenderedPageBreak/>
        <w:t>[15]</w:t>
      </w:r>
      <w:r>
        <w:rPr>
          <w:rFonts w:cs="Arial"/>
          <w:noProof/>
          <w:szCs w:val="24"/>
        </w:rPr>
        <w:tab/>
        <w:t>D.E. Peebles, D.W. Goodman, J.M. White, Methanation of carbon dioxide on nickel(100) and the effects of surface modifiers, J. Phys. Chem. 87 (1983) 4378–4387. doi:10.1021/j100245a014.</w:t>
      </w:r>
    </w:p>
    <w:p>
      <w:pPr>
        <w:widowControl w:val="0"/>
        <w:autoSpaceDE w:val="0"/>
        <w:autoSpaceDN w:val="0"/>
        <w:adjustRightInd w:val="0"/>
        <w:ind w:left="640" w:hanging="640"/>
        <w:rPr>
          <w:rFonts w:cs="Arial"/>
          <w:noProof/>
          <w:szCs w:val="24"/>
        </w:rPr>
      </w:pPr>
      <w:r>
        <w:rPr>
          <w:rFonts w:cs="Arial"/>
          <w:noProof/>
          <w:szCs w:val="24"/>
        </w:rPr>
        <w:t>[16]</w:t>
      </w:r>
      <w:r>
        <w:rPr>
          <w:rFonts w:cs="Arial"/>
          <w:noProof/>
          <w:szCs w:val="24"/>
        </w:rPr>
        <w:tab/>
        <w:t>J. Yang Lim, J. McGregor, A.J. Sederman, J.S. Dennis, Kinetic studies of CO2 methanation over a Ni/γ-Al2O3 catalyst using a batch reactor, Chem. Eng. Sci. 141 (2016) 28–45. doi:10.1016/j.ces.2015.10.026.</w:t>
      </w:r>
    </w:p>
    <w:p>
      <w:pPr>
        <w:widowControl w:val="0"/>
        <w:autoSpaceDE w:val="0"/>
        <w:autoSpaceDN w:val="0"/>
        <w:adjustRightInd w:val="0"/>
        <w:ind w:left="640" w:hanging="640"/>
        <w:rPr>
          <w:rFonts w:cs="Arial"/>
          <w:noProof/>
          <w:szCs w:val="24"/>
        </w:rPr>
      </w:pPr>
      <w:r>
        <w:rPr>
          <w:rFonts w:cs="Arial"/>
          <w:noProof/>
          <w:szCs w:val="24"/>
        </w:rPr>
        <w:t>[17]</w:t>
      </w:r>
      <w:r>
        <w:rPr>
          <w:rFonts w:cs="Arial"/>
          <w:noProof/>
          <w:szCs w:val="24"/>
        </w:rPr>
        <w:tab/>
        <w:t>G.D. Weatherbee, C.H. Bartholomew, Hydrogenation of CO2 on group VIII metals. I. Specific activity of Ni SiO2, J. Catal. 68 (1981) 67–76. doi:10.1016/0021-9517(81)90040-3.</w:t>
      </w:r>
    </w:p>
    <w:p>
      <w:pPr>
        <w:widowControl w:val="0"/>
        <w:autoSpaceDE w:val="0"/>
        <w:autoSpaceDN w:val="0"/>
        <w:adjustRightInd w:val="0"/>
        <w:ind w:left="640" w:hanging="640"/>
        <w:rPr>
          <w:rFonts w:cs="Arial"/>
          <w:noProof/>
          <w:szCs w:val="24"/>
        </w:rPr>
      </w:pPr>
      <w:r>
        <w:rPr>
          <w:rFonts w:cs="Arial"/>
          <w:noProof/>
          <w:szCs w:val="24"/>
        </w:rPr>
        <w:t>[18]</w:t>
      </w:r>
      <w:r>
        <w:rPr>
          <w:rFonts w:cs="Arial"/>
          <w:noProof/>
          <w:szCs w:val="24"/>
        </w:rPr>
        <w:tab/>
        <w:t>K.P. Brooks, J. Hu, H. Zhu, R.J. Kee, Methanation of carbon dioxide by hydrogen reduction using the Sabatier process in microchannel reactors, Chem. Eng. Sci. 62 (2007) 1161–1170. doi:10.1016/j.ces.2006.11.020.</w:t>
      </w:r>
    </w:p>
    <w:p>
      <w:pPr>
        <w:widowControl w:val="0"/>
        <w:autoSpaceDE w:val="0"/>
        <w:autoSpaceDN w:val="0"/>
        <w:adjustRightInd w:val="0"/>
        <w:ind w:left="640" w:hanging="640"/>
        <w:rPr>
          <w:rFonts w:cs="Arial"/>
          <w:noProof/>
          <w:szCs w:val="24"/>
        </w:rPr>
      </w:pPr>
      <w:r>
        <w:rPr>
          <w:rFonts w:cs="Arial"/>
          <w:noProof/>
          <w:szCs w:val="24"/>
        </w:rPr>
        <w:t>[19]</w:t>
      </w:r>
      <w:r>
        <w:rPr>
          <w:rFonts w:cs="Arial"/>
          <w:noProof/>
          <w:szCs w:val="24"/>
        </w:rPr>
        <w:tab/>
        <w:t>M.S. Duyar, A. Ramachandran, C. Wang, R.J. Farrauto, Kinetics of CO2 methanation over Ru/γ-Al2O3 and implications for renewable energy storage applications, J. CO2 Util. 12 (2015) 27–33. doi:10.1016/j.jcou.2015.10.003.</w:t>
      </w:r>
    </w:p>
    <w:p>
      <w:pPr>
        <w:widowControl w:val="0"/>
        <w:autoSpaceDE w:val="0"/>
        <w:autoSpaceDN w:val="0"/>
        <w:adjustRightInd w:val="0"/>
        <w:ind w:left="640" w:hanging="640"/>
        <w:rPr>
          <w:rFonts w:cs="Arial"/>
          <w:noProof/>
          <w:szCs w:val="24"/>
        </w:rPr>
      </w:pPr>
      <w:r>
        <w:rPr>
          <w:rFonts w:cs="Arial"/>
          <w:noProof/>
          <w:szCs w:val="24"/>
        </w:rPr>
        <w:t>[20]</w:t>
      </w:r>
      <w:r>
        <w:rPr>
          <w:rFonts w:cs="Arial"/>
          <w:noProof/>
          <w:szCs w:val="24"/>
        </w:rPr>
        <w:tab/>
        <w:t>C. Junaedi, K. Hawley, D. Walsh, S. Roychoudhury, P. Combustion, N. Haven, M.B. Abney, J.L. Perry, N. George, C.M. Space, CO 2 Reduction Assembly Prototype using Microlith-based Sabatier Reactor for Ground Demonstration, 44th Int. Conf. Environ. Syst. (2014).</w:t>
      </w:r>
    </w:p>
    <w:p>
      <w:pPr>
        <w:widowControl w:val="0"/>
        <w:autoSpaceDE w:val="0"/>
        <w:autoSpaceDN w:val="0"/>
        <w:adjustRightInd w:val="0"/>
        <w:ind w:left="640" w:hanging="640"/>
        <w:rPr>
          <w:rFonts w:cs="Arial"/>
          <w:noProof/>
          <w:szCs w:val="24"/>
        </w:rPr>
      </w:pPr>
      <w:r>
        <w:rPr>
          <w:rFonts w:cs="Arial"/>
          <w:noProof/>
          <w:szCs w:val="24"/>
        </w:rPr>
        <w:t>[21]</w:t>
      </w:r>
      <w:r>
        <w:rPr>
          <w:rFonts w:cs="Arial"/>
          <w:noProof/>
          <w:szCs w:val="24"/>
        </w:rPr>
        <w:tab/>
        <w:t>P. Lunde, Rates of methane formation from carbon dioxide and hydrogen over a ruthenium catalyst, J. Catal. 30 (1973) 423–429. doi:10.1016/0021-9517(73)90159-0.</w:t>
      </w:r>
    </w:p>
    <w:p>
      <w:pPr>
        <w:widowControl w:val="0"/>
        <w:autoSpaceDE w:val="0"/>
        <w:autoSpaceDN w:val="0"/>
        <w:adjustRightInd w:val="0"/>
        <w:ind w:left="640" w:hanging="640"/>
        <w:rPr>
          <w:rFonts w:cs="Arial"/>
          <w:noProof/>
          <w:szCs w:val="24"/>
        </w:rPr>
      </w:pPr>
      <w:r>
        <w:rPr>
          <w:rFonts w:cs="Arial"/>
          <w:noProof/>
          <w:szCs w:val="24"/>
        </w:rPr>
        <w:t>[22]</w:t>
      </w:r>
      <w:r>
        <w:rPr>
          <w:rFonts w:cs="Arial"/>
          <w:noProof/>
          <w:szCs w:val="24"/>
        </w:rPr>
        <w:tab/>
        <w:t>L. Luo, S. Li, Y. Zhu, The effects of yttrium on the hydrogenation performance and surface properties of a ruthenium-supported catalyst, J. Serbian Chem. Soc. 70 (2005) 1419–1425. doi:10.2298/JSC0512419L.</w:t>
      </w:r>
    </w:p>
    <w:p>
      <w:pPr>
        <w:widowControl w:val="0"/>
        <w:autoSpaceDE w:val="0"/>
        <w:autoSpaceDN w:val="0"/>
        <w:adjustRightInd w:val="0"/>
        <w:ind w:left="640" w:hanging="640"/>
        <w:rPr>
          <w:rFonts w:cs="Arial"/>
          <w:noProof/>
          <w:szCs w:val="24"/>
        </w:rPr>
      </w:pPr>
      <w:r>
        <w:rPr>
          <w:rFonts w:cs="Arial"/>
          <w:noProof/>
          <w:szCs w:val="24"/>
        </w:rPr>
        <w:t>[23]</w:t>
      </w:r>
      <w:r>
        <w:rPr>
          <w:rFonts w:cs="Arial"/>
          <w:noProof/>
          <w:szCs w:val="24"/>
        </w:rPr>
        <w:tab/>
        <w:t>H. Ohya, J. Fun, H. Kawamura, K. Itoh, H. Ohashi, M. Aihara, S. Tanisho, Y. Negishi, Methanation of carbon dioxide by using membrane reactor integrated with water vapor permselective membrane and its analysis, J. Memb. Sci. 131 (1997) 237–247. doi:10.1016/S0376-7388(97)00055-0.</w:t>
      </w:r>
    </w:p>
    <w:p>
      <w:pPr>
        <w:widowControl w:val="0"/>
        <w:autoSpaceDE w:val="0"/>
        <w:autoSpaceDN w:val="0"/>
        <w:adjustRightInd w:val="0"/>
        <w:ind w:left="640" w:hanging="640"/>
        <w:rPr>
          <w:rFonts w:cs="Arial"/>
          <w:noProof/>
          <w:szCs w:val="24"/>
        </w:rPr>
      </w:pPr>
      <w:r>
        <w:rPr>
          <w:rFonts w:cs="Arial"/>
          <w:noProof/>
          <w:szCs w:val="24"/>
        </w:rPr>
        <w:t>[24]</w:t>
      </w:r>
      <w:r>
        <w:rPr>
          <w:rFonts w:cs="Arial"/>
          <w:noProof/>
          <w:szCs w:val="24"/>
        </w:rPr>
        <w:tab/>
        <w:t>D.P. Vanderwiel, Y. Wang, a Y. Tonkovich, R.S. Wegeng, P.O. Box, M. K-, Carbon Dioxide Conversions in Microreactors, IMRET 4 Proc. 4th Int. Conf. Microreact. Technol. Top. Conf. Proceedings, AIChE Spring Natl. Meet. March 5-9, 2000 Atlanta, GA. (n.d.) 187–193.</w:t>
      </w:r>
    </w:p>
    <w:p>
      <w:pPr>
        <w:widowControl w:val="0"/>
        <w:autoSpaceDE w:val="0"/>
        <w:autoSpaceDN w:val="0"/>
        <w:adjustRightInd w:val="0"/>
        <w:ind w:left="640" w:hanging="640"/>
        <w:rPr>
          <w:rFonts w:cs="Arial"/>
          <w:noProof/>
          <w:szCs w:val="24"/>
        </w:rPr>
      </w:pPr>
      <w:r>
        <w:rPr>
          <w:rFonts w:cs="Arial"/>
          <w:noProof/>
          <w:szCs w:val="24"/>
        </w:rPr>
        <w:lastRenderedPageBreak/>
        <w:t>[25]</w:t>
      </w:r>
      <w:r>
        <w:rPr>
          <w:rFonts w:cs="Arial"/>
          <w:noProof/>
          <w:szCs w:val="24"/>
        </w:rPr>
        <w:tab/>
        <w:t>S. Tada, O.J. Ochieng, R. Kikuchi, T. Haneda, H. Kameyama, Promotion of CO2 methanation activity and CH4 selectivity at low temperatures over Ru/CeO2/Al2O 3 catalysts, Int. J. Hydrogen Energy. 39 (2014) 10090–10100. doi:10.1016/j.ijhydene.2014.04.133.</w:t>
      </w:r>
    </w:p>
    <w:p>
      <w:pPr>
        <w:widowControl w:val="0"/>
        <w:autoSpaceDE w:val="0"/>
        <w:autoSpaceDN w:val="0"/>
        <w:adjustRightInd w:val="0"/>
        <w:ind w:left="640" w:hanging="640"/>
        <w:rPr>
          <w:rFonts w:cs="Arial"/>
          <w:noProof/>
          <w:szCs w:val="24"/>
        </w:rPr>
      </w:pPr>
      <w:r>
        <w:rPr>
          <w:rFonts w:cs="Arial"/>
          <w:noProof/>
          <w:szCs w:val="24"/>
        </w:rPr>
        <w:t>[26]</w:t>
      </w:r>
      <w:r>
        <w:rPr>
          <w:rFonts w:cs="Arial"/>
          <w:noProof/>
          <w:szCs w:val="24"/>
        </w:rPr>
        <w:tab/>
        <w:t>J. Xu, Q. Lin, X. Su, H. Duan, H. Geng, Y. Huang, CO2 methanation over TiO2-Al2O3 binary oxides supported Ru catalysts, Chinese J. Chem. Eng. 24 (2016) 140–145. doi:10.1016/j.cjche.2015.07.002.</w:t>
      </w:r>
    </w:p>
    <w:p>
      <w:pPr>
        <w:widowControl w:val="0"/>
        <w:autoSpaceDE w:val="0"/>
        <w:autoSpaceDN w:val="0"/>
        <w:adjustRightInd w:val="0"/>
        <w:ind w:left="640" w:hanging="640"/>
        <w:rPr>
          <w:rFonts w:cs="Arial"/>
          <w:noProof/>
          <w:szCs w:val="24"/>
        </w:rPr>
      </w:pPr>
      <w:r>
        <w:rPr>
          <w:rFonts w:cs="Arial"/>
          <w:noProof/>
          <w:szCs w:val="24"/>
        </w:rPr>
        <w:t>[27]</w:t>
      </w:r>
      <w:r>
        <w:rPr>
          <w:rFonts w:cs="Arial"/>
          <w:noProof/>
          <w:szCs w:val="24"/>
        </w:rPr>
        <w:tab/>
        <w:t>A.H. Zamani, R. Ali, W.A.W.A. Bakar, The investigation of Ru/Mn/Cu-Al2O3 oxide catalysts for CO2/H2 methanation in natural gas, J. Taiwan Inst. Chem. Eng. 45 (2014) 143–152. doi:10.1016/j.jtice.2013.04.009.</w:t>
      </w:r>
    </w:p>
    <w:p>
      <w:pPr>
        <w:widowControl w:val="0"/>
        <w:autoSpaceDE w:val="0"/>
        <w:autoSpaceDN w:val="0"/>
        <w:adjustRightInd w:val="0"/>
        <w:ind w:left="640" w:hanging="640"/>
        <w:rPr>
          <w:rFonts w:cs="Arial"/>
          <w:noProof/>
          <w:szCs w:val="24"/>
        </w:rPr>
      </w:pPr>
      <w:r>
        <w:rPr>
          <w:rFonts w:cs="Arial"/>
          <w:noProof/>
          <w:szCs w:val="24"/>
        </w:rPr>
        <w:t>[28]</w:t>
      </w:r>
      <w:r>
        <w:rPr>
          <w:rFonts w:cs="Arial"/>
          <w:noProof/>
          <w:szCs w:val="24"/>
        </w:rPr>
        <w:tab/>
        <w:t>M.R. Gogate, R.J. Davis, Comparative study of CO and CO2 hydrogenation over supported Rh-Fe catalysts, Catal. Commun. 11 (2010) 901–906. doi:10.1016/j.catcom.2010.03.020.</w:t>
      </w:r>
    </w:p>
    <w:p>
      <w:pPr>
        <w:widowControl w:val="0"/>
        <w:autoSpaceDE w:val="0"/>
        <w:autoSpaceDN w:val="0"/>
        <w:adjustRightInd w:val="0"/>
        <w:ind w:left="640" w:hanging="640"/>
        <w:rPr>
          <w:rFonts w:cs="Arial"/>
          <w:noProof/>
          <w:szCs w:val="24"/>
        </w:rPr>
      </w:pPr>
      <w:r>
        <w:rPr>
          <w:rFonts w:cs="Arial"/>
          <w:noProof/>
          <w:szCs w:val="24"/>
        </w:rPr>
        <w:t>[29]</w:t>
      </w:r>
      <w:r>
        <w:rPr>
          <w:rFonts w:cs="Arial"/>
          <w:noProof/>
          <w:szCs w:val="24"/>
        </w:rPr>
        <w:tab/>
        <w:t>J.-N. Park, E.W. McFarland, Erratum to “A highly dispersed Pd–Mg/SiO2 catalyst active for methanation of CO2” [J. Catal. 266 (2009) 92–97], J. Catal. 279 (2011) 403–404. doi:10.1016/j.jcat.2011.02.003.</w:t>
      </w:r>
    </w:p>
    <w:p>
      <w:pPr>
        <w:widowControl w:val="0"/>
        <w:autoSpaceDE w:val="0"/>
        <w:autoSpaceDN w:val="0"/>
        <w:adjustRightInd w:val="0"/>
        <w:ind w:left="640" w:hanging="640"/>
        <w:rPr>
          <w:rFonts w:cs="Arial"/>
          <w:noProof/>
          <w:szCs w:val="24"/>
        </w:rPr>
      </w:pPr>
      <w:r>
        <w:rPr>
          <w:rFonts w:cs="Arial"/>
          <w:noProof/>
          <w:szCs w:val="24"/>
        </w:rPr>
        <w:t>[30]</w:t>
      </w:r>
      <w:r>
        <w:rPr>
          <w:rFonts w:cs="Arial"/>
          <w:noProof/>
          <w:szCs w:val="24"/>
        </w:rPr>
        <w:tab/>
        <w:t>S. Chiuta, R.C. Everson, H.W.J.P. Neomagus, P. Van Der Gryp, D.G. Bessarabov, Reactor technology options for distributed hydrogen generation via ammonia decomposition: A review, Int. J. Hydrogen Energy. 38 (2013) 14968–14991. doi:10.1016/j.ijhydene.2013.09.067.</w:t>
      </w:r>
    </w:p>
    <w:p>
      <w:pPr>
        <w:widowControl w:val="0"/>
        <w:autoSpaceDE w:val="0"/>
        <w:autoSpaceDN w:val="0"/>
        <w:adjustRightInd w:val="0"/>
        <w:ind w:left="640" w:hanging="640"/>
        <w:rPr>
          <w:rFonts w:cs="Arial"/>
          <w:noProof/>
          <w:szCs w:val="24"/>
        </w:rPr>
      </w:pPr>
      <w:r>
        <w:rPr>
          <w:rFonts w:cs="Arial"/>
          <w:noProof/>
          <w:szCs w:val="24"/>
        </w:rPr>
        <w:t>[31]</w:t>
      </w:r>
      <w:r>
        <w:rPr>
          <w:rFonts w:cs="Arial"/>
          <w:noProof/>
          <w:szCs w:val="24"/>
        </w:rPr>
        <w:tab/>
        <w:t>V. Hessel, A. Renken, J.C. Schouten, J.I. Yoshida, Micro Process Engineering: A Comprehensive Handbook, 2013. doi:10.1002/9783527631445.</w:t>
      </w:r>
    </w:p>
    <w:p>
      <w:pPr>
        <w:widowControl w:val="0"/>
        <w:autoSpaceDE w:val="0"/>
        <w:autoSpaceDN w:val="0"/>
        <w:adjustRightInd w:val="0"/>
        <w:ind w:left="640" w:hanging="640"/>
        <w:rPr>
          <w:rFonts w:cs="Arial"/>
          <w:noProof/>
          <w:szCs w:val="24"/>
        </w:rPr>
      </w:pPr>
      <w:r>
        <w:rPr>
          <w:rFonts w:cs="Arial"/>
          <w:noProof/>
          <w:szCs w:val="24"/>
        </w:rPr>
        <w:t>[32]</w:t>
      </w:r>
      <w:r>
        <w:rPr>
          <w:rFonts w:cs="Arial"/>
          <w:noProof/>
          <w:szCs w:val="24"/>
        </w:rPr>
        <w:tab/>
        <w:t>J.D. Holladay, Y. Wang, E. Jones, Review of developments in portable hydrogen production using microreactor technology, Chem. Rev. 104 (2004) 4767–4789. doi:10.1021/cr020721b.</w:t>
      </w:r>
    </w:p>
    <w:p>
      <w:pPr>
        <w:widowControl w:val="0"/>
        <w:autoSpaceDE w:val="0"/>
        <w:autoSpaceDN w:val="0"/>
        <w:adjustRightInd w:val="0"/>
        <w:ind w:left="640" w:hanging="640"/>
        <w:rPr>
          <w:rFonts w:cs="Arial"/>
          <w:noProof/>
          <w:szCs w:val="24"/>
        </w:rPr>
      </w:pPr>
      <w:r>
        <w:rPr>
          <w:rFonts w:cs="Arial"/>
          <w:noProof/>
          <w:szCs w:val="24"/>
        </w:rPr>
        <w:t>[33]</w:t>
      </w:r>
      <w:r>
        <w:rPr>
          <w:rFonts w:cs="Arial"/>
          <w:noProof/>
          <w:szCs w:val="24"/>
        </w:rPr>
        <w:tab/>
        <w:t>K.F. Jensen, Microreaction Engineering - Is Small Better?, Chem. Eng. Sci. 56 (2001) 293–303. doi:10.1016/S0009-2509(00)00230-X.</w:t>
      </w:r>
    </w:p>
    <w:p>
      <w:pPr>
        <w:widowControl w:val="0"/>
        <w:autoSpaceDE w:val="0"/>
        <w:autoSpaceDN w:val="0"/>
        <w:adjustRightInd w:val="0"/>
        <w:ind w:left="640" w:hanging="640"/>
        <w:rPr>
          <w:rFonts w:cs="Arial"/>
          <w:noProof/>
          <w:szCs w:val="24"/>
        </w:rPr>
      </w:pPr>
      <w:r>
        <w:rPr>
          <w:rFonts w:cs="Arial"/>
          <w:noProof/>
          <w:szCs w:val="24"/>
        </w:rPr>
        <w:t>[34]</w:t>
      </w:r>
      <w:r>
        <w:rPr>
          <w:rFonts w:cs="Arial"/>
          <w:noProof/>
          <w:szCs w:val="24"/>
        </w:rPr>
        <w:tab/>
        <w:t>S. Chiuta, R.C. Everson, H.W.J.P. Neomagus, L.A. Le Grange, D.G. Bessarabov, A modelling evaluation of an ammonia-fuelled microchannel reformer for hydrogen generation, Int. J. Hydrogen Energy. 39 (2014) 11390–11402. doi:10.1016/j.ijhydene.2014.05.146.</w:t>
      </w:r>
    </w:p>
    <w:p>
      <w:pPr>
        <w:widowControl w:val="0"/>
        <w:autoSpaceDE w:val="0"/>
        <w:autoSpaceDN w:val="0"/>
        <w:adjustRightInd w:val="0"/>
        <w:ind w:left="640" w:hanging="640"/>
        <w:rPr>
          <w:rFonts w:cs="Arial"/>
          <w:noProof/>
          <w:szCs w:val="24"/>
        </w:rPr>
      </w:pPr>
      <w:r>
        <w:rPr>
          <w:rFonts w:cs="Arial"/>
          <w:noProof/>
          <w:szCs w:val="24"/>
        </w:rPr>
        <w:lastRenderedPageBreak/>
        <w:t>[35]</w:t>
      </w:r>
      <w:r>
        <w:rPr>
          <w:rFonts w:cs="Arial"/>
          <w:noProof/>
          <w:szCs w:val="24"/>
        </w:rPr>
        <w:tab/>
        <w:t>C. Galletti, S. Specchia, V. Specchia, CO selective methanation in H2-rich gas for fuel cell application: Microchannel reactor performance with Ru-based catalysts, Chem. Eng. J. 167 (2011) 616–621. doi:10.1016/j.cej.2010.09.086.</w:t>
      </w:r>
    </w:p>
    <w:p>
      <w:pPr>
        <w:widowControl w:val="0"/>
        <w:autoSpaceDE w:val="0"/>
        <w:autoSpaceDN w:val="0"/>
        <w:adjustRightInd w:val="0"/>
        <w:ind w:left="640" w:hanging="640"/>
        <w:rPr>
          <w:rFonts w:cs="Arial"/>
          <w:noProof/>
          <w:szCs w:val="24"/>
        </w:rPr>
      </w:pPr>
      <w:r>
        <w:rPr>
          <w:rFonts w:cs="Arial"/>
          <w:noProof/>
          <w:szCs w:val="24"/>
        </w:rPr>
        <w:t>[36]</w:t>
      </w:r>
      <w:r>
        <w:rPr>
          <w:rFonts w:cs="Arial"/>
          <w:noProof/>
          <w:szCs w:val="24"/>
        </w:rPr>
        <w:tab/>
        <w:t>Z. Liu, B. Chu, X. Zhai, Y. Jin, Y. Cheng, Total methanation of syngas to synthetic natural gas over Ni catalyst in a micro-channel reactor, Fuel. 95 (2012) 599–605. doi:10.1016/j.fuel.2011.12.045.</w:t>
      </w:r>
    </w:p>
    <w:p>
      <w:pPr>
        <w:widowControl w:val="0"/>
        <w:autoSpaceDE w:val="0"/>
        <w:autoSpaceDN w:val="0"/>
        <w:adjustRightInd w:val="0"/>
        <w:ind w:left="640" w:hanging="640"/>
        <w:rPr>
          <w:rFonts w:cs="Arial"/>
          <w:noProof/>
          <w:szCs w:val="24"/>
        </w:rPr>
      </w:pPr>
      <w:r>
        <w:rPr>
          <w:rFonts w:cs="Arial"/>
          <w:noProof/>
          <w:szCs w:val="24"/>
        </w:rPr>
        <w:t>[37]</w:t>
      </w:r>
      <w:r>
        <w:rPr>
          <w:rFonts w:cs="Arial"/>
          <w:noProof/>
          <w:szCs w:val="24"/>
        </w:rPr>
        <w:tab/>
        <w:t>Y. Men, G. Kolb, R. Zapf, V. Hessel, H. Löwe, Selective methanation of carbon oxides in a microchannel reactor-Primary screening and impact of gas additives, Catal. Today. 125 (2007) 81–87. doi:10.1016/j.cattod.2007.02.017.</w:t>
      </w:r>
    </w:p>
    <w:p>
      <w:pPr>
        <w:widowControl w:val="0"/>
        <w:autoSpaceDE w:val="0"/>
        <w:autoSpaceDN w:val="0"/>
        <w:adjustRightInd w:val="0"/>
        <w:ind w:left="640" w:hanging="640"/>
        <w:rPr>
          <w:rFonts w:cs="Arial"/>
          <w:noProof/>
          <w:szCs w:val="24"/>
        </w:rPr>
      </w:pPr>
      <w:r>
        <w:rPr>
          <w:rFonts w:cs="Arial"/>
          <w:noProof/>
          <w:szCs w:val="24"/>
        </w:rPr>
        <w:t>[38]</w:t>
      </w:r>
      <w:r>
        <w:rPr>
          <w:rFonts w:cs="Arial"/>
          <w:noProof/>
          <w:szCs w:val="24"/>
        </w:rPr>
        <w:tab/>
        <w:t>O. Görke, P. Pfeifer, K. Schubert, Highly selective methanation by the use of a microchannel reactor, Catal. Today. 110 (2005) 132–139. doi:10.1016/j.cattod.2005.09.009.</w:t>
      </w:r>
    </w:p>
    <w:p>
      <w:pPr>
        <w:widowControl w:val="0"/>
        <w:autoSpaceDE w:val="0"/>
        <w:autoSpaceDN w:val="0"/>
        <w:adjustRightInd w:val="0"/>
        <w:ind w:left="640" w:hanging="640"/>
        <w:rPr>
          <w:rFonts w:cs="Arial"/>
          <w:noProof/>
          <w:szCs w:val="24"/>
        </w:rPr>
      </w:pPr>
      <w:r>
        <w:rPr>
          <w:rFonts w:cs="Arial"/>
          <w:noProof/>
          <w:szCs w:val="24"/>
        </w:rPr>
        <w:t>[39]</w:t>
      </w:r>
      <w:r>
        <w:rPr>
          <w:rFonts w:cs="Arial"/>
          <w:noProof/>
          <w:szCs w:val="24"/>
        </w:rPr>
        <w:tab/>
        <w:t>C.B. Lee, S.H. Cho, D.W. Lee, K.R. Hwang, J.S. Park, S.H. Kim, Combination of preferential CO oxidation and methanation in hybrid MCR (micro-channel reactor) for CO clean-up, Energy. 78 (2014) 421–425. doi:10.1016/j.energy.2014.10.029.</w:t>
      </w:r>
    </w:p>
    <w:p>
      <w:pPr>
        <w:widowControl w:val="0"/>
        <w:autoSpaceDE w:val="0"/>
        <w:autoSpaceDN w:val="0"/>
        <w:adjustRightInd w:val="0"/>
        <w:ind w:left="640" w:hanging="640"/>
        <w:rPr>
          <w:rFonts w:cs="Arial"/>
          <w:noProof/>
          <w:szCs w:val="24"/>
        </w:rPr>
      </w:pPr>
      <w:r>
        <w:rPr>
          <w:rFonts w:cs="Arial"/>
          <w:noProof/>
          <w:szCs w:val="24"/>
        </w:rPr>
        <w:t>[40]</w:t>
      </w:r>
      <w:r>
        <w:rPr>
          <w:rFonts w:cs="Arial"/>
          <w:noProof/>
          <w:szCs w:val="24"/>
        </w:rPr>
        <w:tab/>
        <w:t>M. O’Connell, G. Kolb, K.P. Schelhaas, M. Wichert, D. Tiemann, H. Pennemann, R. Zapf, Towards mass production of microstructured fuel processors for application in future distributed energy generation systems: A review of recent progress at IMM, Chem. Eng. Res. Des. 90 (2012) 11–18. doi:10.1016/j.cherd.2011.08.002.</w:t>
      </w:r>
    </w:p>
    <w:p>
      <w:pPr>
        <w:widowControl w:val="0"/>
        <w:autoSpaceDE w:val="0"/>
        <w:autoSpaceDN w:val="0"/>
        <w:adjustRightInd w:val="0"/>
        <w:ind w:left="640" w:hanging="640"/>
        <w:rPr>
          <w:rFonts w:cs="Arial"/>
          <w:noProof/>
          <w:szCs w:val="24"/>
        </w:rPr>
      </w:pPr>
      <w:r>
        <w:rPr>
          <w:rFonts w:cs="Arial"/>
          <w:noProof/>
          <w:szCs w:val="24"/>
        </w:rPr>
        <w:t>[41]</w:t>
      </w:r>
      <w:r>
        <w:rPr>
          <w:rFonts w:cs="Arial"/>
          <w:noProof/>
          <w:szCs w:val="24"/>
        </w:rPr>
        <w:tab/>
        <w:t>Acta S.P.A., Ammonia Reforming Catalysts, (2016). http://www.actaspa.com/products/ammonia-reforming-catalysts/ (accessed June 26, 2016).</w:t>
      </w:r>
    </w:p>
    <w:p>
      <w:pPr>
        <w:widowControl w:val="0"/>
        <w:autoSpaceDE w:val="0"/>
        <w:autoSpaceDN w:val="0"/>
        <w:adjustRightInd w:val="0"/>
        <w:ind w:left="640" w:hanging="640"/>
        <w:rPr>
          <w:rFonts w:cs="Arial"/>
          <w:noProof/>
          <w:szCs w:val="24"/>
        </w:rPr>
      </w:pPr>
      <w:r>
        <w:rPr>
          <w:rFonts w:cs="Arial"/>
          <w:noProof/>
          <w:szCs w:val="24"/>
        </w:rPr>
        <w:t>[42]</w:t>
      </w:r>
      <w:r>
        <w:rPr>
          <w:rFonts w:cs="Arial"/>
          <w:noProof/>
          <w:szCs w:val="24"/>
        </w:rPr>
        <w:tab/>
        <w:t>J. Chen, H. Yang, N. Wang, Z. Ring, T. Dabros, Mathematical modeling of monolith catalysts and reactors for gas phase reactions, Appl. Catal. A Gen. 345 (2008) 1–11. doi:10.1016/j.apcata.2008.04.010.</w:t>
      </w:r>
    </w:p>
    <w:p>
      <w:pPr>
        <w:widowControl w:val="0"/>
        <w:autoSpaceDE w:val="0"/>
        <w:autoSpaceDN w:val="0"/>
        <w:adjustRightInd w:val="0"/>
        <w:ind w:left="640" w:hanging="640"/>
        <w:rPr>
          <w:rFonts w:cs="Arial"/>
          <w:noProof/>
          <w:szCs w:val="24"/>
        </w:rPr>
      </w:pPr>
      <w:r>
        <w:rPr>
          <w:rFonts w:cs="Arial"/>
          <w:noProof/>
          <w:szCs w:val="24"/>
        </w:rPr>
        <w:t>[43]</w:t>
      </w:r>
      <w:r>
        <w:rPr>
          <w:rFonts w:cs="Arial"/>
          <w:noProof/>
          <w:szCs w:val="24"/>
        </w:rPr>
        <w:tab/>
        <w:t>J.M. Commenge, L. Falk, J.P. Corriou, M. Matlosz, Optimal Design for Flow Uniformity in Microchannel Reactors, AIChE J. 48 (2002) 345–358. doi:10.1002/aic.690480218.</w:t>
      </w:r>
    </w:p>
    <w:p>
      <w:pPr>
        <w:widowControl w:val="0"/>
        <w:autoSpaceDE w:val="0"/>
        <w:autoSpaceDN w:val="0"/>
        <w:adjustRightInd w:val="0"/>
        <w:ind w:left="640" w:hanging="640"/>
        <w:rPr>
          <w:rFonts w:cs="Arial"/>
          <w:noProof/>
          <w:szCs w:val="24"/>
        </w:rPr>
      </w:pPr>
      <w:r>
        <w:rPr>
          <w:rFonts w:cs="Arial"/>
          <w:noProof/>
          <w:szCs w:val="24"/>
        </w:rPr>
        <w:t>[44]</w:t>
      </w:r>
      <w:r>
        <w:rPr>
          <w:rFonts w:cs="Arial"/>
          <w:noProof/>
          <w:szCs w:val="24"/>
        </w:rPr>
        <w:tab/>
        <w:t>G.N. Pontikakis, G.S. Konstantas, a. M. Stamatelos, Three-Way Catalytic Converter Modeling as a Modern Engineering Design Tool, J. Eng. Gas Turbines Power. 126 (2004) 906. doi:10.1115/1.1787506.</w:t>
      </w:r>
    </w:p>
    <w:p>
      <w:pPr>
        <w:widowControl w:val="0"/>
        <w:autoSpaceDE w:val="0"/>
        <w:autoSpaceDN w:val="0"/>
        <w:adjustRightInd w:val="0"/>
        <w:ind w:left="640" w:hanging="640"/>
        <w:rPr>
          <w:rFonts w:cs="Arial"/>
          <w:noProof/>
          <w:szCs w:val="24"/>
        </w:rPr>
      </w:pPr>
      <w:r>
        <w:rPr>
          <w:rFonts w:cs="Arial"/>
          <w:noProof/>
          <w:szCs w:val="24"/>
        </w:rPr>
        <w:lastRenderedPageBreak/>
        <w:t>[45]</w:t>
      </w:r>
      <w:r>
        <w:rPr>
          <w:rFonts w:cs="Arial"/>
          <w:noProof/>
          <w:szCs w:val="24"/>
        </w:rPr>
        <w:tab/>
        <w:t>CHERIC, Chemical Engineering and Materials Research Information Center, (2016). http://www.cheric.org/research/kdb (accessed May 2, 2016).</w:t>
      </w:r>
    </w:p>
    <w:p>
      <w:pPr>
        <w:widowControl w:val="0"/>
        <w:autoSpaceDE w:val="0"/>
        <w:autoSpaceDN w:val="0"/>
        <w:adjustRightInd w:val="0"/>
        <w:ind w:left="640" w:hanging="640"/>
        <w:rPr>
          <w:rFonts w:cs="Arial"/>
          <w:noProof/>
          <w:szCs w:val="24"/>
        </w:rPr>
      </w:pPr>
      <w:r>
        <w:rPr>
          <w:rFonts w:cs="Arial"/>
          <w:noProof/>
          <w:szCs w:val="24"/>
        </w:rPr>
        <w:t>[46]</w:t>
      </w:r>
      <w:r>
        <w:rPr>
          <w:rFonts w:cs="Arial"/>
          <w:noProof/>
          <w:szCs w:val="24"/>
        </w:rPr>
        <w:tab/>
        <w:t>E.N. Fuller, P.D. Schettler, J.C. Giddings, A new method for prediction of binary gas-phase diffusion coefficients., Ind. Eng. Chem. 16 (1966) 551. doi:10.1016/0042-207X(66)90400-3.</w:t>
      </w:r>
    </w:p>
    <w:p>
      <w:pPr>
        <w:widowControl w:val="0"/>
        <w:autoSpaceDE w:val="0"/>
        <w:autoSpaceDN w:val="0"/>
        <w:adjustRightInd w:val="0"/>
        <w:ind w:left="640" w:hanging="640"/>
        <w:rPr>
          <w:rFonts w:cs="Arial"/>
          <w:noProof/>
          <w:szCs w:val="24"/>
        </w:rPr>
      </w:pPr>
      <w:r>
        <w:rPr>
          <w:rFonts w:cs="Arial"/>
          <w:noProof/>
          <w:szCs w:val="24"/>
        </w:rPr>
        <w:t>[47]</w:t>
      </w:r>
      <w:r>
        <w:rPr>
          <w:rFonts w:cs="Arial"/>
          <w:noProof/>
          <w:szCs w:val="24"/>
        </w:rPr>
        <w:tab/>
        <w:t>E.N. Fuller, K. Ensley, J.C. Giddings, Diffusion of halogenated hydrocarbons in helium. The effect of structure on collision cross sections, J. Phys. Chem. 73 (1969) 3679–3685. doi:10.1021/j100845a020.</w:t>
      </w:r>
    </w:p>
    <w:p>
      <w:pPr>
        <w:widowControl w:val="0"/>
        <w:autoSpaceDE w:val="0"/>
        <w:autoSpaceDN w:val="0"/>
        <w:adjustRightInd w:val="0"/>
        <w:ind w:left="640" w:hanging="640"/>
        <w:rPr>
          <w:rFonts w:cs="Arial"/>
          <w:noProof/>
          <w:szCs w:val="24"/>
        </w:rPr>
      </w:pPr>
      <w:r>
        <w:rPr>
          <w:rFonts w:cs="Arial"/>
          <w:noProof/>
          <w:szCs w:val="24"/>
        </w:rPr>
        <w:t>[48]</w:t>
      </w:r>
      <w:r>
        <w:rPr>
          <w:rFonts w:cs="Arial"/>
          <w:noProof/>
          <w:szCs w:val="24"/>
        </w:rPr>
        <w:tab/>
        <w:t>T. Fuller, C. Hartnig, V. Ramani, H. Uchida, H.A. Gasteiger, S. Cleghorn, P. Strasser, T. Zawodzinski, D. Jones, P. Shirvanian, T. Jarvi, P. Zelenay, C. Lamy, C. Bele, Proton Exchange Membrane Fuel Cells 9: ECS Transactions: Volume 25, Issue 1, The Electrochemical Society, New York, 1987.</w:t>
      </w:r>
    </w:p>
    <w:p>
      <w:pPr>
        <w:widowControl w:val="0"/>
        <w:autoSpaceDE w:val="0"/>
        <w:autoSpaceDN w:val="0"/>
        <w:adjustRightInd w:val="0"/>
        <w:ind w:left="640" w:hanging="640"/>
        <w:rPr>
          <w:rFonts w:cs="Arial"/>
          <w:noProof/>
          <w:szCs w:val="24"/>
        </w:rPr>
      </w:pPr>
      <w:r>
        <w:rPr>
          <w:rFonts w:cs="Arial"/>
          <w:noProof/>
          <w:szCs w:val="24"/>
        </w:rPr>
        <w:t>[49]</w:t>
      </w:r>
      <w:r>
        <w:rPr>
          <w:rFonts w:cs="Arial"/>
          <w:noProof/>
          <w:szCs w:val="24"/>
        </w:rPr>
        <w:tab/>
        <w:t>P.J. Lunde, Modeling, Simulation, and Operation of a Sabatier Reactor, Ind. Eng. Chem. Process Des. Dev. 13 (1974) 226–233. doi:10.1021/i260051a007.</w:t>
      </w:r>
    </w:p>
    <w:p>
      <w:pPr>
        <w:widowControl w:val="0"/>
        <w:autoSpaceDE w:val="0"/>
        <w:autoSpaceDN w:val="0"/>
        <w:adjustRightInd w:val="0"/>
        <w:ind w:left="640" w:hanging="640"/>
        <w:rPr>
          <w:rFonts w:cs="Arial"/>
          <w:noProof/>
          <w:szCs w:val="24"/>
        </w:rPr>
      </w:pPr>
      <w:r>
        <w:rPr>
          <w:rFonts w:cs="Arial"/>
          <w:noProof/>
          <w:szCs w:val="24"/>
        </w:rPr>
        <w:t>[50]</w:t>
      </w:r>
      <w:r>
        <w:rPr>
          <w:rFonts w:cs="Arial"/>
          <w:noProof/>
          <w:szCs w:val="24"/>
        </w:rPr>
        <w:tab/>
        <w:t>P.J. Lunde, F.L. Kester, Carbon Dioxide Methanation on a Ruthenium Catalyst, Ind. Eng. Chem. Process Des. Dev. 13 (1974) 27–33. doi:10.1021/i260049a005.</w:t>
      </w:r>
    </w:p>
    <w:p>
      <w:pPr>
        <w:widowControl w:val="0"/>
        <w:autoSpaceDE w:val="0"/>
        <w:autoSpaceDN w:val="0"/>
        <w:adjustRightInd w:val="0"/>
        <w:ind w:left="640" w:hanging="640"/>
        <w:rPr>
          <w:rFonts w:cs="Arial"/>
          <w:noProof/>
          <w:szCs w:val="24"/>
        </w:rPr>
      </w:pPr>
      <w:r>
        <w:rPr>
          <w:rFonts w:cs="Arial"/>
          <w:noProof/>
          <w:szCs w:val="24"/>
        </w:rPr>
        <w:t>[51]</w:t>
      </w:r>
      <w:r>
        <w:rPr>
          <w:rFonts w:cs="Arial"/>
          <w:noProof/>
          <w:szCs w:val="24"/>
        </w:rPr>
        <w:tab/>
        <w:t>V. Lebarbier, R. Dagle, A. Datye, Y. Wang, The effect of PdZn particle size on reverse-water-gas-shift reaction, Appl. Catal. A Gen. 379 (2010) 3–6. doi:10.1016/j.apcata.2010.02.008.</w:t>
      </w:r>
    </w:p>
    <w:p>
      <w:pPr>
        <w:widowControl w:val="0"/>
        <w:autoSpaceDE w:val="0"/>
        <w:autoSpaceDN w:val="0"/>
        <w:adjustRightInd w:val="0"/>
        <w:ind w:left="640" w:hanging="640"/>
        <w:rPr>
          <w:lang w:val="en-US" w:eastAsia="en-ZA" w:bidi="en-US"/>
        </w:rPr>
      </w:pPr>
      <w:r>
        <w:rPr>
          <w:rFonts w:cs="Arial"/>
          <w:noProof/>
          <w:szCs w:val="24"/>
        </w:rPr>
        <w:t>[52]</w:t>
      </w:r>
      <w:r>
        <w:rPr>
          <w:rFonts w:cs="Arial"/>
          <w:noProof/>
          <w:szCs w:val="24"/>
        </w:rPr>
        <w:tab/>
        <w:t>N. Tippayawong, P. Thanompongchart, Biogas quality upgrade by simultaneous removal of CO2 and H2S in a packed column reactor, Energy. 35 (2010) 4531–4535. doi:10.1016/j.energy.2010.04.014.</w:t>
      </w:r>
      <w:r>
        <w:rPr>
          <w:lang w:val="en-US" w:eastAsia="en-ZA" w:bidi="en-US"/>
        </w:rPr>
        <w:fldChar w:fldCharType="end"/>
      </w:r>
    </w:p>
    <w:sectPr>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pPr>
        <w:spacing w:after="0" w:line="240" w:lineRule="auto"/>
      </w:pPr>
      <w:r>
        <w:separator/>
      </w:r>
    </w:p>
  </w:endnote>
  <w:endnote w:type="continuationSeparator" w:id="0">
    <w:p>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AdvCaeciliaRm">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pStyle w:val="Footer"/>
      <w:jc w:val="center"/>
    </w:pPr>
    <w:r>
      <w:fldChar w:fldCharType="begin"/>
    </w:r>
    <w:r>
      <w:instrText xml:space="preserve"> PAGE   \* MERGEFORMAT </w:instrText>
    </w:r>
    <w:r>
      <w:fldChar w:fldCharType="separate"/>
    </w:r>
    <w:r>
      <w:rPr>
        <w:noProof/>
      </w:rPr>
      <w:t>2</w:t>
    </w:r>
    <w:r>
      <w:rPr>
        <w:noProof/>
      </w:rPr>
      <w:fldChar w:fldCharType="end"/>
    </w:r>
  </w:p>
  <w:p>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separator/>
      </w:r>
    </w:p>
  </w:footnote>
  <w:footnote w:type="continuationSeparator" w:id="0">
    <w:p>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E95BA8"/>
    <w:multiLevelType w:val="hybridMultilevel"/>
    <w:tmpl w:val="0D8CF784"/>
    <w:lvl w:ilvl="0" w:tplc="809680A4">
      <w:start w:val="1"/>
      <w:numFmt w:val="decimal"/>
      <w:lvlText w:val="[%1]."/>
      <w:lvlJc w:val="left"/>
      <w:pPr>
        <w:ind w:left="720" w:hanging="360"/>
      </w:pPr>
      <w:rPr>
        <w:rFonts w:hint="default"/>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nsid w:val="2A9A1F46"/>
    <w:multiLevelType w:val="hybridMultilevel"/>
    <w:tmpl w:val="1A6C133E"/>
    <w:lvl w:ilvl="0" w:tplc="809680A4">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nsid w:val="42270AF0"/>
    <w:multiLevelType w:val="hybridMultilevel"/>
    <w:tmpl w:val="662878D8"/>
    <w:lvl w:ilvl="0" w:tplc="809680A4">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73CD609F"/>
    <w:multiLevelType w:val="hybridMultilevel"/>
    <w:tmpl w:val="1E669392"/>
    <w:lvl w:ilvl="0" w:tplc="809680A4">
      <w:start w:val="1"/>
      <w:numFmt w:val="decimal"/>
      <w:lvlText w:val="[%1]."/>
      <w:lvlJc w:val="left"/>
      <w:pPr>
        <w:ind w:left="360" w:hanging="360"/>
      </w:pPr>
      <w:rPr>
        <w:rFonts w:hint="default"/>
      </w:rPr>
    </w:lvl>
    <w:lvl w:ilvl="1" w:tplc="1C090019">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F5DF501-9B8C-4448-8C71-6B834443F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ZA" w:eastAsia="en-Z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360" w:lineRule="auto"/>
      <w:jc w:val="both"/>
    </w:pPr>
    <w:rPr>
      <w:rFonts w:ascii="Arial" w:hAnsi="Arial"/>
      <w:sz w:val="22"/>
      <w:szCs w:val="22"/>
      <w:lang w:val="en-GB" w:eastAsia="en-US"/>
    </w:rPr>
  </w:style>
  <w:style w:type="paragraph" w:styleId="Heading1">
    <w:name w:val="heading 1"/>
    <w:basedOn w:val="Normal"/>
    <w:next w:val="Normal"/>
    <w:link w:val="Heading1Char"/>
    <w:uiPriority w:val="9"/>
    <w:qFormat/>
    <w:pPr>
      <w:keepNext/>
      <w:keepLines/>
      <w:spacing w:before="480" w:after="0"/>
      <w:jc w:val="center"/>
      <w:outlineLvl w:val="0"/>
    </w:pPr>
    <w:rPr>
      <w:rFonts w:eastAsia="Times New Roman"/>
      <w:b/>
      <w:bCs/>
      <w:sz w:val="28"/>
      <w:szCs w:val="28"/>
    </w:rPr>
  </w:style>
  <w:style w:type="paragraph" w:styleId="Heading2">
    <w:name w:val="heading 2"/>
    <w:basedOn w:val="Normal"/>
    <w:next w:val="Normal"/>
    <w:link w:val="Heading2Char"/>
    <w:uiPriority w:val="9"/>
    <w:unhideWhenUsed/>
    <w:qFormat/>
    <w:pPr>
      <w:keepNext/>
      <w:keepLines/>
      <w:spacing w:before="200" w:after="0"/>
      <w:outlineLvl w:val="1"/>
    </w:pPr>
    <w:rPr>
      <w:rFonts w:eastAsia="Times New Roman"/>
      <w:b/>
      <w:bCs/>
      <w:sz w:val="26"/>
      <w:szCs w:val="26"/>
    </w:rPr>
  </w:style>
  <w:style w:type="paragraph" w:styleId="Heading3">
    <w:name w:val="heading 3"/>
    <w:basedOn w:val="Normal"/>
    <w:next w:val="Normal"/>
    <w:link w:val="Heading3Char"/>
    <w:uiPriority w:val="9"/>
    <w:unhideWhenUsed/>
    <w:qFormat/>
    <w:pPr>
      <w:keepNext/>
      <w:keepLines/>
      <w:spacing w:before="200" w:after="0"/>
      <w:outlineLvl w:val="2"/>
    </w:pPr>
    <w:rPr>
      <w:rFonts w:eastAsia="Times New Roman"/>
      <w:b/>
      <w:bCs/>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rPr>
      <w:rFonts w:ascii="Arial" w:eastAsia="Times New Roman" w:hAnsi="Arial"/>
      <w:b/>
      <w:bCs/>
      <w:sz w:val="26"/>
      <w:szCs w:val="26"/>
      <w:lang w:eastAsia="en-US"/>
    </w:rPr>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character" w:customStyle="1" w:styleId="BalloonTextChar">
    <w:name w:val="Balloon Text Char"/>
    <w:link w:val="BalloonText"/>
    <w:uiPriority w:val="99"/>
    <w:semiHidden/>
    <w:rPr>
      <w:rFonts w:ascii="Tahoma" w:hAnsi="Tahoma" w:cs="Tahoma"/>
      <w:sz w:val="16"/>
      <w:szCs w:val="16"/>
    </w:rPr>
  </w:style>
  <w:style w:type="character" w:customStyle="1" w:styleId="Heading1Char">
    <w:name w:val="Heading 1 Char"/>
    <w:link w:val="Heading1"/>
    <w:uiPriority w:val="9"/>
    <w:rPr>
      <w:rFonts w:ascii="Arial" w:eastAsia="Times New Roman" w:hAnsi="Arial"/>
      <w:b/>
      <w:bCs/>
      <w:sz w:val="28"/>
      <w:szCs w:val="28"/>
      <w:lang w:eastAsia="en-US"/>
    </w:rPr>
  </w:style>
  <w:style w:type="paragraph" w:styleId="Title">
    <w:name w:val="Title"/>
    <w:basedOn w:val="Normal"/>
    <w:next w:val="Normal"/>
    <w:link w:val="TitleChar"/>
    <w:uiPriority w:val="10"/>
    <w:qFormat/>
    <w:pPr>
      <w:pBdr>
        <w:bottom w:val="single" w:sz="8" w:space="4" w:color="4F81BD"/>
      </w:pBdr>
      <w:spacing w:after="300" w:line="240" w:lineRule="auto"/>
      <w:contextualSpacing/>
    </w:pPr>
    <w:rPr>
      <w:rFonts w:ascii="Cambria" w:eastAsia="Times New Roman" w:hAnsi="Cambria"/>
      <w:color w:val="17365D"/>
      <w:spacing w:val="5"/>
      <w:kern w:val="28"/>
      <w:sz w:val="52"/>
      <w:szCs w:val="52"/>
    </w:rPr>
  </w:style>
  <w:style w:type="character" w:customStyle="1" w:styleId="TitleChar">
    <w:name w:val="Title Char"/>
    <w:link w:val="Title"/>
    <w:uiPriority w:val="10"/>
    <w:rPr>
      <w:rFonts w:ascii="Cambria" w:eastAsia="Times New Roman" w:hAnsi="Cambria" w:cs="Times New Roman"/>
      <w:color w:val="17365D"/>
      <w:spacing w:val="5"/>
      <w:kern w:val="28"/>
      <w:sz w:val="52"/>
      <w:szCs w:val="52"/>
    </w:rPr>
  </w:style>
  <w:style w:type="character" w:customStyle="1" w:styleId="Heading3Char">
    <w:name w:val="Heading 3 Char"/>
    <w:link w:val="Heading3"/>
    <w:uiPriority w:val="9"/>
    <w:rPr>
      <w:rFonts w:ascii="Arial" w:eastAsia="Times New Roman" w:hAnsi="Arial"/>
      <w:b/>
      <w:bCs/>
      <w:sz w:val="26"/>
      <w:szCs w:val="22"/>
      <w:lang w:eastAsia="en-US"/>
    </w:rPr>
  </w:style>
  <w:style w:type="paragraph" w:styleId="Header">
    <w:name w:val="header"/>
    <w:basedOn w:val="Normal"/>
    <w:link w:val="HeaderChar"/>
    <w:uiPriority w:val="99"/>
    <w:unhideWhenUsed/>
    <w:pPr>
      <w:tabs>
        <w:tab w:val="center" w:pos="4513"/>
        <w:tab w:val="right" w:pos="9026"/>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unhideWhenUsed/>
    <w:pPr>
      <w:tabs>
        <w:tab w:val="center" w:pos="4513"/>
        <w:tab w:val="right" w:pos="9026"/>
      </w:tabs>
      <w:spacing w:after="0" w:line="240" w:lineRule="auto"/>
    </w:pPr>
  </w:style>
  <w:style w:type="character" w:customStyle="1" w:styleId="FooterChar">
    <w:name w:val="Footer Char"/>
    <w:basedOn w:val="DefaultParagraphFont"/>
    <w:link w:val="Footer"/>
    <w:uiPriority w:val="99"/>
  </w:style>
  <w:style w:type="character" w:styleId="LineNumber">
    <w:name w:val="line number"/>
    <w:uiPriority w:val="99"/>
    <w:semiHidden/>
    <w:unhideWhenUsed/>
  </w:style>
  <w:style w:type="character" w:styleId="CommentReference">
    <w:name w:val="annotation reference"/>
    <w:uiPriority w:val="99"/>
    <w:semiHidden/>
    <w:unhideWhenUsed/>
    <w:rPr>
      <w:sz w:val="16"/>
      <w:szCs w:val="16"/>
    </w:r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link w:val="CommentText"/>
    <w:uiPriority w:val="99"/>
    <w:rPr>
      <w:lang w:eastAsia="en-US"/>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link w:val="CommentSubject"/>
    <w:uiPriority w:val="99"/>
    <w:semiHidden/>
    <w:rPr>
      <w:b/>
      <w:bCs/>
      <w:lang w:eastAsia="en-US"/>
    </w:rPr>
  </w:style>
  <w:style w:type="paragraph" w:styleId="Revision">
    <w:name w:val="Revision"/>
    <w:hidden/>
    <w:uiPriority w:val="99"/>
    <w:semiHidden/>
    <w:rPr>
      <w:sz w:val="22"/>
      <w:szCs w:val="22"/>
      <w:lang w:eastAsia="en-US"/>
    </w:rPr>
  </w:style>
  <w:style w:type="paragraph" w:styleId="Caption">
    <w:name w:val="caption"/>
    <w:basedOn w:val="Normal"/>
    <w:next w:val="Normal"/>
    <w:uiPriority w:val="35"/>
    <w:unhideWhenUsed/>
    <w:qFormat/>
    <w:rPr>
      <w:b/>
      <w:bCs/>
      <w:sz w:val="20"/>
      <w:szCs w:val="20"/>
    </w:rPr>
  </w:style>
  <w:style w:type="character" w:styleId="Hyperlink">
    <w:name w:val="Hyperlink"/>
    <w:uiPriority w:val="99"/>
    <w:unhideWhenUsed/>
    <w:rPr>
      <w:color w:val="0000FF"/>
      <w:u w:val="single"/>
    </w:rPr>
  </w:style>
  <w:style w:type="paragraph" w:styleId="NormalWeb">
    <w:name w:val="Normal (Web)"/>
    <w:basedOn w:val="Normal"/>
    <w:uiPriority w:val="99"/>
    <w:semiHidden/>
    <w:unhideWhenUsed/>
    <w:pPr>
      <w:spacing w:before="100" w:beforeAutospacing="1" w:after="100" w:afterAutospacing="1" w:line="240" w:lineRule="auto"/>
    </w:pPr>
    <w:rPr>
      <w:rFonts w:ascii="Times New Roman" w:eastAsia="Times New Roman" w:hAnsi="Times New Roman"/>
      <w:sz w:val="24"/>
      <w:szCs w:val="24"/>
      <w:lang w:eastAsia="en-ZA"/>
    </w:rPr>
  </w:style>
  <w:style w:type="character" w:styleId="FollowedHyperlink">
    <w:name w:val="FollowedHyperlink"/>
    <w:uiPriority w:val="99"/>
    <w:semiHidden/>
    <w:unhideWhenUsed/>
    <w:rPr>
      <w:color w:val="800080"/>
      <w:u w:val="single"/>
    </w:rPr>
  </w:style>
  <w:style w:type="paragraph" w:styleId="Bibliography">
    <w:name w:val="Bibliography"/>
    <w:basedOn w:val="Normal"/>
    <w:next w:val="Normal"/>
    <w:uiPriority w:val="37"/>
    <w:unhideWhenUsed/>
  </w:style>
  <w:style w:type="character" w:styleId="PlaceholderText">
    <w:name w:val="Placeholder Text"/>
    <w:basedOn w:val="DefaultParagraphFont"/>
    <w:uiPriority w:val="99"/>
    <w:semiHidden/>
    <w:rPr>
      <w:color w:val="808080"/>
    </w:rPr>
  </w:style>
  <w:style w:type="paragraph" w:styleId="ListParagraph">
    <w:name w:val="List Paragraph"/>
    <w:basedOn w:val="Normal"/>
    <w:uiPriority w:val="34"/>
    <w:qFormat/>
    <w:pPr>
      <w:ind w:left="720"/>
      <w:contextualSpacing/>
    </w:pPr>
  </w:style>
  <w:style w:type="character" w:customStyle="1" w:styleId="apple-converted-space">
    <w:name w:val="apple-converted-space"/>
    <w:basedOn w:val="DefaultParagraphFont"/>
  </w:style>
  <w:style w:type="character" w:styleId="Emphasis">
    <w:name w:val="Emphasis"/>
    <w:basedOn w:val="DefaultParagraphFont"/>
    <w:uiPriority w:val="20"/>
    <w:qFormat/>
    <w:rPr>
      <w:i/>
      <w:iCs/>
    </w:rPr>
  </w:style>
  <w:style w:type="table" w:styleId="TableGrid">
    <w:name w:val="Table Grid"/>
    <w:basedOn w:val="TableNormal"/>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477252">
      <w:bodyDiv w:val="1"/>
      <w:marLeft w:val="0"/>
      <w:marRight w:val="0"/>
      <w:marTop w:val="0"/>
      <w:marBottom w:val="0"/>
      <w:divBdr>
        <w:top w:val="none" w:sz="0" w:space="0" w:color="auto"/>
        <w:left w:val="none" w:sz="0" w:space="0" w:color="auto"/>
        <w:bottom w:val="none" w:sz="0" w:space="0" w:color="auto"/>
        <w:right w:val="none" w:sz="0" w:space="0" w:color="auto"/>
      </w:divBdr>
    </w:div>
    <w:div w:id="138572976">
      <w:bodyDiv w:val="1"/>
      <w:marLeft w:val="0"/>
      <w:marRight w:val="0"/>
      <w:marTop w:val="0"/>
      <w:marBottom w:val="0"/>
      <w:divBdr>
        <w:top w:val="none" w:sz="0" w:space="0" w:color="auto"/>
        <w:left w:val="none" w:sz="0" w:space="0" w:color="auto"/>
        <w:bottom w:val="none" w:sz="0" w:space="0" w:color="auto"/>
        <w:right w:val="none" w:sz="0" w:space="0" w:color="auto"/>
      </w:divBdr>
    </w:div>
    <w:div w:id="147401139">
      <w:bodyDiv w:val="1"/>
      <w:marLeft w:val="0"/>
      <w:marRight w:val="0"/>
      <w:marTop w:val="0"/>
      <w:marBottom w:val="0"/>
      <w:divBdr>
        <w:top w:val="none" w:sz="0" w:space="0" w:color="auto"/>
        <w:left w:val="none" w:sz="0" w:space="0" w:color="auto"/>
        <w:bottom w:val="none" w:sz="0" w:space="0" w:color="auto"/>
        <w:right w:val="none" w:sz="0" w:space="0" w:color="auto"/>
      </w:divBdr>
    </w:div>
    <w:div w:id="291131146">
      <w:bodyDiv w:val="1"/>
      <w:marLeft w:val="0"/>
      <w:marRight w:val="0"/>
      <w:marTop w:val="0"/>
      <w:marBottom w:val="0"/>
      <w:divBdr>
        <w:top w:val="none" w:sz="0" w:space="0" w:color="auto"/>
        <w:left w:val="none" w:sz="0" w:space="0" w:color="auto"/>
        <w:bottom w:val="none" w:sz="0" w:space="0" w:color="auto"/>
        <w:right w:val="none" w:sz="0" w:space="0" w:color="auto"/>
      </w:divBdr>
    </w:div>
    <w:div w:id="586618455">
      <w:bodyDiv w:val="1"/>
      <w:marLeft w:val="0"/>
      <w:marRight w:val="0"/>
      <w:marTop w:val="0"/>
      <w:marBottom w:val="0"/>
      <w:divBdr>
        <w:top w:val="none" w:sz="0" w:space="0" w:color="auto"/>
        <w:left w:val="none" w:sz="0" w:space="0" w:color="auto"/>
        <w:bottom w:val="none" w:sz="0" w:space="0" w:color="auto"/>
        <w:right w:val="none" w:sz="0" w:space="0" w:color="auto"/>
      </w:divBdr>
      <w:divsChild>
        <w:div w:id="957251403">
          <w:marLeft w:val="0"/>
          <w:marRight w:val="0"/>
          <w:marTop w:val="0"/>
          <w:marBottom w:val="0"/>
          <w:divBdr>
            <w:top w:val="none" w:sz="0" w:space="0" w:color="auto"/>
            <w:left w:val="none" w:sz="0" w:space="0" w:color="auto"/>
            <w:bottom w:val="none" w:sz="0" w:space="0" w:color="auto"/>
            <w:right w:val="none" w:sz="0" w:space="0" w:color="auto"/>
          </w:divBdr>
        </w:div>
        <w:div w:id="513422295">
          <w:marLeft w:val="0"/>
          <w:marRight w:val="0"/>
          <w:marTop w:val="0"/>
          <w:marBottom w:val="0"/>
          <w:divBdr>
            <w:top w:val="none" w:sz="0" w:space="0" w:color="auto"/>
            <w:left w:val="none" w:sz="0" w:space="0" w:color="auto"/>
            <w:bottom w:val="none" w:sz="0" w:space="0" w:color="auto"/>
            <w:right w:val="none" w:sz="0" w:space="0" w:color="auto"/>
          </w:divBdr>
        </w:div>
        <w:div w:id="1145589363">
          <w:marLeft w:val="0"/>
          <w:marRight w:val="0"/>
          <w:marTop w:val="0"/>
          <w:marBottom w:val="0"/>
          <w:divBdr>
            <w:top w:val="none" w:sz="0" w:space="0" w:color="auto"/>
            <w:left w:val="none" w:sz="0" w:space="0" w:color="auto"/>
            <w:bottom w:val="none" w:sz="0" w:space="0" w:color="auto"/>
            <w:right w:val="none" w:sz="0" w:space="0" w:color="auto"/>
          </w:divBdr>
        </w:div>
        <w:div w:id="537281206">
          <w:marLeft w:val="0"/>
          <w:marRight w:val="0"/>
          <w:marTop w:val="0"/>
          <w:marBottom w:val="0"/>
          <w:divBdr>
            <w:top w:val="none" w:sz="0" w:space="0" w:color="auto"/>
            <w:left w:val="none" w:sz="0" w:space="0" w:color="auto"/>
            <w:bottom w:val="none" w:sz="0" w:space="0" w:color="auto"/>
            <w:right w:val="none" w:sz="0" w:space="0" w:color="auto"/>
          </w:divBdr>
        </w:div>
        <w:div w:id="1236234832">
          <w:marLeft w:val="0"/>
          <w:marRight w:val="0"/>
          <w:marTop w:val="0"/>
          <w:marBottom w:val="0"/>
          <w:divBdr>
            <w:top w:val="none" w:sz="0" w:space="0" w:color="auto"/>
            <w:left w:val="none" w:sz="0" w:space="0" w:color="auto"/>
            <w:bottom w:val="none" w:sz="0" w:space="0" w:color="auto"/>
            <w:right w:val="none" w:sz="0" w:space="0" w:color="auto"/>
          </w:divBdr>
        </w:div>
        <w:div w:id="313536075">
          <w:marLeft w:val="0"/>
          <w:marRight w:val="0"/>
          <w:marTop w:val="0"/>
          <w:marBottom w:val="0"/>
          <w:divBdr>
            <w:top w:val="none" w:sz="0" w:space="0" w:color="auto"/>
            <w:left w:val="none" w:sz="0" w:space="0" w:color="auto"/>
            <w:bottom w:val="none" w:sz="0" w:space="0" w:color="auto"/>
            <w:right w:val="none" w:sz="0" w:space="0" w:color="auto"/>
          </w:divBdr>
        </w:div>
        <w:div w:id="2053923476">
          <w:marLeft w:val="0"/>
          <w:marRight w:val="0"/>
          <w:marTop w:val="0"/>
          <w:marBottom w:val="0"/>
          <w:divBdr>
            <w:top w:val="none" w:sz="0" w:space="0" w:color="auto"/>
            <w:left w:val="none" w:sz="0" w:space="0" w:color="auto"/>
            <w:bottom w:val="none" w:sz="0" w:space="0" w:color="auto"/>
            <w:right w:val="none" w:sz="0" w:space="0" w:color="auto"/>
          </w:divBdr>
        </w:div>
        <w:div w:id="1618872874">
          <w:marLeft w:val="0"/>
          <w:marRight w:val="0"/>
          <w:marTop w:val="0"/>
          <w:marBottom w:val="0"/>
          <w:divBdr>
            <w:top w:val="none" w:sz="0" w:space="0" w:color="auto"/>
            <w:left w:val="none" w:sz="0" w:space="0" w:color="auto"/>
            <w:bottom w:val="none" w:sz="0" w:space="0" w:color="auto"/>
            <w:right w:val="none" w:sz="0" w:space="0" w:color="auto"/>
          </w:divBdr>
        </w:div>
        <w:div w:id="4402667">
          <w:marLeft w:val="0"/>
          <w:marRight w:val="0"/>
          <w:marTop w:val="0"/>
          <w:marBottom w:val="0"/>
          <w:divBdr>
            <w:top w:val="none" w:sz="0" w:space="0" w:color="auto"/>
            <w:left w:val="none" w:sz="0" w:space="0" w:color="auto"/>
            <w:bottom w:val="none" w:sz="0" w:space="0" w:color="auto"/>
            <w:right w:val="none" w:sz="0" w:space="0" w:color="auto"/>
          </w:divBdr>
        </w:div>
      </w:divsChild>
    </w:div>
    <w:div w:id="637802540">
      <w:bodyDiv w:val="1"/>
      <w:marLeft w:val="0"/>
      <w:marRight w:val="0"/>
      <w:marTop w:val="0"/>
      <w:marBottom w:val="0"/>
      <w:divBdr>
        <w:top w:val="none" w:sz="0" w:space="0" w:color="auto"/>
        <w:left w:val="none" w:sz="0" w:space="0" w:color="auto"/>
        <w:bottom w:val="none" w:sz="0" w:space="0" w:color="auto"/>
        <w:right w:val="none" w:sz="0" w:space="0" w:color="auto"/>
      </w:divBdr>
    </w:div>
    <w:div w:id="766197585">
      <w:bodyDiv w:val="1"/>
      <w:marLeft w:val="0"/>
      <w:marRight w:val="0"/>
      <w:marTop w:val="0"/>
      <w:marBottom w:val="0"/>
      <w:divBdr>
        <w:top w:val="none" w:sz="0" w:space="0" w:color="auto"/>
        <w:left w:val="none" w:sz="0" w:space="0" w:color="auto"/>
        <w:bottom w:val="none" w:sz="0" w:space="0" w:color="auto"/>
        <w:right w:val="none" w:sz="0" w:space="0" w:color="auto"/>
      </w:divBdr>
    </w:div>
    <w:div w:id="834884065">
      <w:bodyDiv w:val="1"/>
      <w:marLeft w:val="0"/>
      <w:marRight w:val="0"/>
      <w:marTop w:val="0"/>
      <w:marBottom w:val="0"/>
      <w:divBdr>
        <w:top w:val="none" w:sz="0" w:space="0" w:color="auto"/>
        <w:left w:val="none" w:sz="0" w:space="0" w:color="auto"/>
        <w:bottom w:val="none" w:sz="0" w:space="0" w:color="auto"/>
        <w:right w:val="none" w:sz="0" w:space="0" w:color="auto"/>
      </w:divBdr>
      <w:divsChild>
        <w:div w:id="1818957946">
          <w:marLeft w:val="0"/>
          <w:marRight w:val="0"/>
          <w:marTop w:val="0"/>
          <w:marBottom w:val="0"/>
          <w:divBdr>
            <w:top w:val="none" w:sz="0" w:space="0" w:color="auto"/>
            <w:left w:val="none" w:sz="0" w:space="0" w:color="auto"/>
            <w:bottom w:val="none" w:sz="0" w:space="0" w:color="auto"/>
            <w:right w:val="none" w:sz="0" w:space="0" w:color="auto"/>
          </w:divBdr>
        </w:div>
        <w:div w:id="57361349">
          <w:marLeft w:val="0"/>
          <w:marRight w:val="0"/>
          <w:marTop w:val="0"/>
          <w:marBottom w:val="0"/>
          <w:divBdr>
            <w:top w:val="none" w:sz="0" w:space="0" w:color="auto"/>
            <w:left w:val="none" w:sz="0" w:space="0" w:color="auto"/>
            <w:bottom w:val="none" w:sz="0" w:space="0" w:color="auto"/>
            <w:right w:val="none" w:sz="0" w:space="0" w:color="auto"/>
          </w:divBdr>
        </w:div>
        <w:div w:id="2018388349">
          <w:marLeft w:val="0"/>
          <w:marRight w:val="0"/>
          <w:marTop w:val="0"/>
          <w:marBottom w:val="0"/>
          <w:divBdr>
            <w:top w:val="none" w:sz="0" w:space="0" w:color="auto"/>
            <w:left w:val="none" w:sz="0" w:space="0" w:color="auto"/>
            <w:bottom w:val="none" w:sz="0" w:space="0" w:color="auto"/>
            <w:right w:val="none" w:sz="0" w:space="0" w:color="auto"/>
          </w:divBdr>
        </w:div>
        <w:div w:id="633147081">
          <w:marLeft w:val="0"/>
          <w:marRight w:val="0"/>
          <w:marTop w:val="0"/>
          <w:marBottom w:val="0"/>
          <w:divBdr>
            <w:top w:val="none" w:sz="0" w:space="0" w:color="auto"/>
            <w:left w:val="none" w:sz="0" w:space="0" w:color="auto"/>
            <w:bottom w:val="none" w:sz="0" w:space="0" w:color="auto"/>
            <w:right w:val="none" w:sz="0" w:space="0" w:color="auto"/>
          </w:divBdr>
        </w:div>
      </w:divsChild>
    </w:div>
    <w:div w:id="1028676844">
      <w:bodyDiv w:val="1"/>
      <w:marLeft w:val="0"/>
      <w:marRight w:val="0"/>
      <w:marTop w:val="0"/>
      <w:marBottom w:val="0"/>
      <w:divBdr>
        <w:top w:val="none" w:sz="0" w:space="0" w:color="auto"/>
        <w:left w:val="none" w:sz="0" w:space="0" w:color="auto"/>
        <w:bottom w:val="none" w:sz="0" w:space="0" w:color="auto"/>
        <w:right w:val="none" w:sz="0" w:space="0" w:color="auto"/>
      </w:divBdr>
      <w:divsChild>
        <w:div w:id="284043104">
          <w:marLeft w:val="0"/>
          <w:marRight w:val="0"/>
          <w:marTop w:val="0"/>
          <w:marBottom w:val="0"/>
          <w:divBdr>
            <w:top w:val="none" w:sz="0" w:space="0" w:color="auto"/>
            <w:left w:val="none" w:sz="0" w:space="0" w:color="auto"/>
            <w:bottom w:val="none" w:sz="0" w:space="0" w:color="auto"/>
            <w:right w:val="none" w:sz="0" w:space="0" w:color="auto"/>
          </w:divBdr>
        </w:div>
        <w:div w:id="677006418">
          <w:marLeft w:val="0"/>
          <w:marRight w:val="0"/>
          <w:marTop w:val="0"/>
          <w:marBottom w:val="0"/>
          <w:divBdr>
            <w:top w:val="none" w:sz="0" w:space="0" w:color="auto"/>
            <w:left w:val="none" w:sz="0" w:space="0" w:color="auto"/>
            <w:bottom w:val="none" w:sz="0" w:space="0" w:color="auto"/>
            <w:right w:val="none" w:sz="0" w:space="0" w:color="auto"/>
          </w:divBdr>
        </w:div>
        <w:div w:id="306056254">
          <w:marLeft w:val="0"/>
          <w:marRight w:val="0"/>
          <w:marTop w:val="0"/>
          <w:marBottom w:val="0"/>
          <w:divBdr>
            <w:top w:val="none" w:sz="0" w:space="0" w:color="auto"/>
            <w:left w:val="none" w:sz="0" w:space="0" w:color="auto"/>
            <w:bottom w:val="none" w:sz="0" w:space="0" w:color="auto"/>
            <w:right w:val="none" w:sz="0" w:space="0" w:color="auto"/>
          </w:divBdr>
        </w:div>
      </w:divsChild>
    </w:div>
    <w:div w:id="1071584028">
      <w:bodyDiv w:val="1"/>
      <w:marLeft w:val="0"/>
      <w:marRight w:val="0"/>
      <w:marTop w:val="0"/>
      <w:marBottom w:val="0"/>
      <w:divBdr>
        <w:top w:val="none" w:sz="0" w:space="0" w:color="auto"/>
        <w:left w:val="none" w:sz="0" w:space="0" w:color="auto"/>
        <w:bottom w:val="none" w:sz="0" w:space="0" w:color="auto"/>
        <w:right w:val="none" w:sz="0" w:space="0" w:color="auto"/>
      </w:divBdr>
    </w:div>
    <w:div w:id="1238519396">
      <w:bodyDiv w:val="1"/>
      <w:marLeft w:val="0"/>
      <w:marRight w:val="0"/>
      <w:marTop w:val="0"/>
      <w:marBottom w:val="0"/>
      <w:divBdr>
        <w:top w:val="none" w:sz="0" w:space="0" w:color="auto"/>
        <w:left w:val="none" w:sz="0" w:space="0" w:color="auto"/>
        <w:bottom w:val="none" w:sz="0" w:space="0" w:color="auto"/>
        <w:right w:val="none" w:sz="0" w:space="0" w:color="auto"/>
      </w:divBdr>
    </w:div>
    <w:div w:id="1354066026">
      <w:bodyDiv w:val="1"/>
      <w:marLeft w:val="0"/>
      <w:marRight w:val="0"/>
      <w:marTop w:val="0"/>
      <w:marBottom w:val="0"/>
      <w:divBdr>
        <w:top w:val="none" w:sz="0" w:space="0" w:color="auto"/>
        <w:left w:val="none" w:sz="0" w:space="0" w:color="auto"/>
        <w:bottom w:val="none" w:sz="0" w:space="0" w:color="auto"/>
        <w:right w:val="none" w:sz="0" w:space="0" w:color="auto"/>
      </w:divBdr>
    </w:div>
    <w:div w:id="1481074191">
      <w:bodyDiv w:val="1"/>
      <w:marLeft w:val="0"/>
      <w:marRight w:val="0"/>
      <w:marTop w:val="0"/>
      <w:marBottom w:val="0"/>
      <w:divBdr>
        <w:top w:val="none" w:sz="0" w:space="0" w:color="auto"/>
        <w:left w:val="none" w:sz="0" w:space="0" w:color="auto"/>
        <w:bottom w:val="none" w:sz="0" w:space="0" w:color="auto"/>
        <w:right w:val="none" w:sz="0" w:space="0" w:color="auto"/>
      </w:divBdr>
      <w:divsChild>
        <w:div w:id="1318457028">
          <w:marLeft w:val="0"/>
          <w:marRight w:val="0"/>
          <w:marTop w:val="0"/>
          <w:marBottom w:val="0"/>
          <w:divBdr>
            <w:top w:val="none" w:sz="0" w:space="0" w:color="auto"/>
            <w:left w:val="none" w:sz="0" w:space="0" w:color="auto"/>
            <w:bottom w:val="none" w:sz="0" w:space="0" w:color="auto"/>
            <w:right w:val="none" w:sz="0" w:space="0" w:color="auto"/>
          </w:divBdr>
        </w:div>
        <w:div w:id="140343625">
          <w:marLeft w:val="0"/>
          <w:marRight w:val="0"/>
          <w:marTop w:val="0"/>
          <w:marBottom w:val="0"/>
          <w:divBdr>
            <w:top w:val="none" w:sz="0" w:space="0" w:color="auto"/>
            <w:left w:val="none" w:sz="0" w:space="0" w:color="auto"/>
            <w:bottom w:val="none" w:sz="0" w:space="0" w:color="auto"/>
            <w:right w:val="none" w:sz="0" w:space="0" w:color="auto"/>
          </w:divBdr>
        </w:div>
        <w:div w:id="2130122571">
          <w:marLeft w:val="0"/>
          <w:marRight w:val="0"/>
          <w:marTop w:val="0"/>
          <w:marBottom w:val="0"/>
          <w:divBdr>
            <w:top w:val="none" w:sz="0" w:space="0" w:color="auto"/>
            <w:left w:val="none" w:sz="0" w:space="0" w:color="auto"/>
            <w:bottom w:val="none" w:sz="0" w:space="0" w:color="auto"/>
            <w:right w:val="none" w:sz="0" w:space="0" w:color="auto"/>
          </w:divBdr>
        </w:div>
        <w:div w:id="602803744">
          <w:marLeft w:val="0"/>
          <w:marRight w:val="0"/>
          <w:marTop w:val="0"/>
          <w:marBottom w:val="0"/>
          <w:divBdr>
            <w:top w:val="none" w:sz="0" w:space="0" w:color="auto"/>
            <w:left w:val="none" w:sz="0" w:space="0" w:color="auto"/>
            <w:bottom w:val="none" w:sz="0" w:space="0" w:color="auto"/>
            <w:right w:val="none" w:sz="0" w:space="0" w:color="auto"/>
          </w:divBdr>
        </w:div>
        <w:div w:id="1696539288">
          <w:marLeft w:val="0"/>
          <w:marRight w:val="0"/>
          <w:marTop w:val="0"/>
          <w:marBottom w:val="0"/>
          <w:divBdr>
            <w:top w:val="none" w:sz="0" w:space="0" w:color="auto"/>
            <w:left w:val="none" w:sz="0" w:space="0" w:color="auto"/>
            <w:bottom w:val="none" w:sz="0" w:space="0" w:color="auto"/>
            <w:right w:val="none" w:sz="0" w:space="0" w:color="auto"/>
          </w:divBdr>
        </w:div>
        <w:div w:id="623384783">
          <w:marLeft w:val="0"/>
          <w:marRight w:val="0"/>
          <w:marTop w:val="0"/>
          <w:marBottom w:val="0"/>
          <w:divBdr>
            <w:top w:val="none" w:sz="0" w:space="0" w:color="auto"/>
            <w:left w:val="none" w:sz="0" w:space="0" w:color="auto"/>
            <w:bottom w:val="none" w:sz="0" w:space="0" w:color="auto"/>
            <w:right w:val="none" w:sz="0" w:space="0" w:color="auto"/>
          </w:divBdr>
        </w:div>
        <w:div w:id="1279214311">
          <w:marLeft w:val="0"/>
          <w:marRight w:val="0"/>
          <w:marTop w:val="0"/>
          <w:marBottom w:val="0"/>
          <w:divBdr>
            <w:top w:val="none" w:sz="0" w:space="0" w:color="auto"/>
            <w:left w:val="none" w:sz="0" w:space="0" w:color="auto"/>
            <w:bottom w:val="none" w:sz="0" w:space="0" w:color="auto"/>
            <w:right w:val="none" w:sz="0" w:space="0" w:color="auto"/>
          </w:divBdr>
        </w:div>
        <w:div w:id="940843218">
          <w:marLeft w:val="0"/>
          <w:marRight w:val="0"/>
          <w:marTop w:val="0"/>
          <w:marBottom w:val="0"/>
          <w:divBdr>
            <w:top w:val="none" w:sz="0" w:space="0" w:color="auto"/>
            <w:left w:val="none" w:sz="0" w:space="0" w:color="auto"/>
            <w:bottom w:val="none" w:sz="0" w:space="0" w:color="auto"/>
            <w:right w:val="none" w:sz="0" w:space="0" w:color="auto"/>
          </w:divBdr>
        </w:div>
        <w:div w:id="487286645">
          <w:marLeft w:val="0"/>
          <w:marRight w:val="0"/>
          <w:marTop w:val="0"/>
          <w:marBottom w:val="0"/>
          <w:divBdr>
            <w:top w:val="none" w:sz="0" w:space="0" w:color="auto"/>
            <w:left w:val="none" w:sz="0" w:space="0" w:color="auto"/>
            <w:bottom w:val="none" w:sz="0" w:space="0" w:color="auto"/>
            <w:right w:val="none" w:sz="0" w:space="0" w:color="auto"/>
          </w:divBdr>
        </w:div>
        <w:div w:id="579408562">
          <w:marLeft w:val="0"/>
          <w:marRight w:val="0"/>
          <w:marTop w:val="0"/>
          <w:marBottom w:val="0"/>
          <w:divBdr>
            <w:top w:val="none" w:sz="0" w:space="0" w:color="auto"/>
            <w:left w:val="none" w:sz="0" w:space="0" w:color="auto"/>
            <w:bottom w:val="none" w:sz="0" w:space="0" w:color="auto"/>
            <w:right w:val="none" w:sz="0" w:space="0" w:color="auto"/>
          </w:divBdr>
        </w:div>
        <w:div w:id="832068049">
          <w:marLeft w:val="0"/>
          <w:marRight w:val="0"/>
          <w:marTop w:val="0"/>
          <w:marBottom w:val="0"/>
          <w:divBdr>
            <w:top w:val="none" w:sz="0" w:space="0" w:color="auto"/>
            <w:left w:val="none" w:sz="0" w:space="0" w:color="auto"/>
            <w:bottom w:val="none" w:sz="0" w:space="0" w:color="auto"/>
            <w:right w:val="none" w:sz="0" w:space="0" w:color="auto"/>
          </w:divBdr>
        </w:div>
        <w:div w:id="1305158376">
          <w:marLeft w:val="0"/>
          <w:marRight w:val="0"/>
          <w:marTop w:val="0"/>
          <w:marBottom w:val="0"/>
          <w:divBdr>
            <w:top w:val="none" w:sz="0" w:space="0" w:color="auto"/>
            <w:left w:val="none" w:sz="0" w:space="0" w:color="auto"/>
            <w:bottom w:val="none" w:sz="0" w:space="0" w:color="auto"/>
            <w:right w:val="none" w:sz="0" w:space="0" w:color="auto"/>
          </w:divBdr>
        </w:div>
        <w:div w:id="574123467">
          <w:marLeft w:val="0"/>
          <w:marRight w:val="0"/>
          <w:marTop w:val="0"/>
          <w:marBottom w:val="0"/>
          <w:divBdr>
            <w:top w:val="none" w:sz="0" w:space="0" w:color="auto"/>
            <w:left w:val="none" w:sz="0" w:space="0" w:color="auto"/>
            <w:bottom w:val="none" w:sz="0" w:space="0" w:color="auto"/>
            <w:right w:val="none" w:sz="0" w:space="0" w:color="auto"/>
          </w:divBdr>
        </w:div>
        <w:div w:id="957762091">
          <w:marLeft w:val="0"/>
          <w:marRight w:val="0"/>
          <w:marTop w:val="0"/>
          <w:marBottom w:val="0"/>
          <w:divBdr>
            <w:top w:val="none" w:sz="0" w:space="0" w:color="auto"/>
            <w:left w:val="none" w:sz="0" w:space="0" w:color="auto"/>
            <w:bottom w:val="none" w:sz="0" w:space="0" w:color="auto"/>
            <w:right w:val="none" w:sz="0" w:space="0" w:color="auto"/>
          </w:divBdr>
        </w:div>
        <w:div w:id="2142577308">
          <w:marLeft w:val="0"/>
          <w:marRight w:val="0"/>
          <w:marTop w:val="0"/>
          <w:marBottom w:val="0"/>
          <w:divBdr>
            <w:top w:val="none" w:sz="0" w:space="0" w:color="auto"/>
            <w:left w:val="none" w:sz="0" w:space="0" w:color="auto"/>
            <w:bottom w:val="none" w:sz="0" w:space="0" w:color="auto"/>
            <w:right w:val="none" w:sz="0" w:space="0" w:color="auto"/>
          </w:divBdr>
        </w:div>
        <w:div w:id="1165779990">
          <w:marLeft w:val="0"/>
          <w:marRight w:val="0"/>
          <w:marTop w:val="0"/>
          <w:marBottom w:val="0"/>
          <w:divBdr>
            <w:top w:val="none" w:sz="0" w:space="0" w:color="auto"/>
            <w:left w:val="none" w:sz="0" w:space="0" w:color="auto"/>
            <w:bottom w:val="none" w:sz="0" w:space="0" w:color="auto"/>
            <w:right w:val="none" w:sz="0" w:space="0" w:color="auto"/>
          </w:divBdr>
        </w:div>
        <w:div w:id="1473981468">
          <w:marLeft w:val="0"/>
          <w:marRight w:val="0"/>
          <w:marTop w:val="0"/>
          <w:marBottom w:val="0"/>
          <w:divBdr>
            <w:top w:val="none" w:sz="0" w:space="0" w:color="auto"/>
            <w:left w:val="none" w:sz="0" w:space="0" w:color="auto"/>
            <w:bottom w:val="none" w:sz="0" w:space="0" w:color="auto"/>
            <w:right w:val="none" w:sz="0" w:space="0" w:color="auto"/>
          </w:divBdr>
        </w:div>
        <w:div w:id="925499883">
          <w:marLeft w:val="0"/>
          <w:marRight w:val="0"/>
          <w:marTop w:val="0"/>
          <w:marBottom w:val="0"/>
          <w:divBdr>
            <w:top w:val="none" w:sz="0" w:space="0" w:color="auto"/>
            <w:left w:val="none" w:sz="0" w:space="0" w:color="auto"/>
            <w:bottom w:val="none" w:sz="0" w:space="0" w:color="auto"/>
            <w:right w:val="none" w:sz="0" w:space="0" w:color="auto"/>
          </w:divBdr>
        </w:div>
        <w:div w:id="584606869">
          <w:marLeft w:val="0"/>
          <w:marRight w:val="0"/>
          <w:marTop w:val="0"/>
          <w:marBottom w:val="0"/>
          <w:divBdr>
            <w:top w:val="none" w:sz="0" w:space="0" w:color="auto"/>
            <w:left w:val="none" w:sz="0" w:space="0" w:color="auto"/>
            <w:bottom w:val="none" w:sz="0" w:space="0" w:color="auto"/>
            <w:right w:val="none" w:sz="0" w:space="0" w:color="auto"/>
          </w:divBdr>
        </w:div>
      </w:divsChild>
    </w:div>
    <w:div w:id="1482310363">
      <w:bodyDiv w:val="1"/>
      <w:marLeft w:val="0"/>
      <w:marRight w:val="0"/>
      <w:marTop w:val="0"/>
      <w:marBottom w:val="0"/>
      <w:divBdr>
        <w:top w:val="none" w:sz="0" w:space="0" w:color="auto"/>
        <w:left w:val="none" w:sz="0" w:space="0" w:color="auto"/>
        <w:bottom w:val="none" w:sz="0" w:space="0" w:color="auto"/>
        <w:right w:val="none" w:sz="0" w:space="0" w:color="auto"/>
      </w:divBdr>
    </w:div>
    <w:div w:id="1509443136">
      <w:bodyDiv w:val="1"/>
      <w:marLeft w:val="0"/>
      <w:marRight w:val="0"/>
      <w:marTop w:val="0"/>
      <w:marBottom w:val="0"/>
      <w:divBdr>
        <w:top w:val="none" w:sz="0" w:space="0" w:color="auto"/>
        <w:left w:val="none" w:sz="0" w:space="0" w:color="auto"/>
        <w:bottom w:val="none" w:sz="0" w:space="0" w:color="auto"/>
        <w:right w:val="none" w:sz="0" w:space="0" w:color="auto"/>
      </w:divBdr>
    </w:div>
    <w:div w:id="1758600286">
      <w:bodyDiv w:val="1"/>
      <w:marLeft w:val="0"/>
      <w:marRight w:val="0"/>
      <w:marTop w:val="0"/>
      <w:marBottom w:val="0"/>
      <w:divBdr>
        <w:top w:val="none" w:sz="0" w:space="0" w:color="auto"/>
        <w:left w:val="none" w:sz="0" w:space="0" w:color="auto"/>
        <w:bottom w:val="none" w:sz="0" w:space="0" w:color="auto"/>
        <w:right w:val="none" w:sz="0" w:space="0" w:color="auto"/>
      </w:divBdr>
    </w:div>
    <w:div w:id="1920940421">
      <w:bodyDiv w:val="1"/>
      <w:marLeft w:val="0"/>
      <w:marRight w:val="0"/>
      <w:marTop w:val="0"/>
      <w:marBottom w:val="0"/>
      <w:divBdr>
        <w:top w:val="none" w:sz="0" w:space="0" w:color="auto"/>
        <w:left w:val="none" w:sz="0" w:space="0" w:color="auto"/>
        <w:bottom w:val="none" w:sz="0" w:space="0" w:color="auto"/>
        <w:right w:val="none" w:sz="0" w:space="0" w:color="auto"/>
      </w:divBdr>
    </w:div>
    <w:div w:id="2128740716">
      <w:bodyDiv w:val="1"/>
      <w:marLeft w:val="0"/>
      <w:marRight w:val="0"/>
      <w:marTop w:val="0"/>
      <w:marBottom w:val="0"/>
      <w:divBdr>
        <w:top w:val="none" w:sz="0" w:space="0" w:color="auto"/>
        <w:left w:val="none" w:sz="0" w:space="0" w:color="auto"/>
        <w:bottom w:val="none" w:sz="0" w:space="0" w:color="auto"/>
        <w:right w:val="none" w:sz="0" w:space="0" w:color="auto"/>
      </w:divBdr>
      <w:divsChild>
        <w:div w:id="1290744198">
          <w:marLeft w:val="0"/>
          <w:marRight w:val="0"/>
          <w:marTop w:val="0"/>
          <w:marBottom w:val="0"/>
          <w:divBdr>
            <w:top w:val="none" w:sz="0" w:space="0" w:color="auto"/>
            <w:left w:val="none" w:sz="0" w:space="0" w:color="auto"/>
            <w:bottom w:val="none" w:sz="0" w:space="0" w:color="auto"/>
            <w:right w:val="none" w:sz="0" w:space="0" w:color="auto"/>
          </w:divBdr>
        </w:div>
        <w:div w:id="19895054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21876533@nwu.ac.z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Dmitri.Bessarabov@nwu.ac.z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B89777A0-9D3A-4117-B02F-A1513606DD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33915</Words>
  <Characters>193322</Characters>
  <Application>Microsoft Office Word</Application>
  <DocSecurity>0</DocSecurity>
  <Lines>1611</Lines>
  <Paragraphs>453</Paragraphs>
  <ScaleCrop>false</ScaleCrop>
  <HeadingPairs>
    <vt:vector size="2" baseType="variant">
      <vt:variant>
        <vt:lpstr>Title</vt:lpstr>
      </vt:variant>
      <vt:variant>
        <vt:i4>1</vt:i4>
      </vt:variant>
    </vt:vector>
  </HeadingPairs>
  <TitlesOfParts>
    <vt:vector size="1" baseType="lpstr">
      <vt:lpstr/>
    </vt:vector>
  </TitlesOfParts>
  <Company>North-West University</Company>
  <LinksUpToDate>false</LinksUpToDate>
  <CharactersWithSpaces>226784</CharactersWithSpaces>
  <SharedDoc>false</SharedDoc>
  <HLinks>
    <vt:vector size="12" baseType="variant">
      <vt:variant>
        <vt:i4>2752547</vt:i4>
      </vt:variant>
      <vt:variant>
        <vt:i4>3</vt:i4>
      </vt:variant>
      <vt:variant>
        <vt:i4>0</vt:i4>
      </vt:variant>
      <vt:variant>
        <vt:i4>5</vt:i4>
      </vt:variant>
      <vt:variant>
        <vt:lpwstr>http://www.worldenergyoutlook.org/</vt:lpwstr>
      </vt:variant>
      <vt:variant>
        <vt:lpwstr/>
      </vt:variant>
      <vt:variant>
        <vt:i4>7733316</vt:i4>
      </vt:variant>
      <vt:variant>
        <vt:i4>0</vt:i4>
      </vt:variant>
      <vt:variant>
        <vt:i4>0</vt:i4>
      </vt:variant>
      <vt:variant>
        <vt:i4>5</vt:i4>
      </vt:variant>
      <vt:variant>
        <vt:lpwstr>mailto:Dmitri.Bessarabov@nwu.ac.za</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NWUUser</dc:creator>
  <cp:lastModifiedBy>Windows User</cp:lastModifiedBy>
  <cp:revision>2</cp:revision>
  <cp:lastPrinted>2016-08-01T08:20:00Z</cp:lastPrinted>
  <dcterms:created xsi:type="dcterms:W3CDTF">2017-03-07T09:58:00Z</dcterms:created>
  <dcterms:modified xsi:type="dcterms:W3CDTF">2017-03-07T09:58:00Z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engelbrechtnicolaas@gmail.com@www.mendeley.com</vt:lpwstr>
  </property>
  <property fmtid="{D5CDD505-2E9C-101B-9397-08002B2CF9AE}" pid="4" name="Mendeley Citation Style_1">
    <vt:lpwstr>http://www.zotero.org/styles/chemical-engineering-journal</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http://www.zotero.org/styles/chemical-engineering-journal</vt:lpwstr>
  </property>
  <property fmtid="{D5CDD505-2E9C-101B-9397-08002B2CF9AE}" pid="12" name="Mendeley Recent Style Name 3_1">
    <vt:lpwstr>Chemical Engineering Journal</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http://www.zotero.org/styles/harvard-north-west-university</vt:lpwstr>
  </property>
  <property fmtid="{D5CDD505-2E9C-101B-9397-08002B2CF9AE}" pid="16" name="Mendeley Recent Style Name 5_1">
    <vt:lpwstr>Harvard - North-West University</vt:lpwstr>
  </property>
  <property fmtid="{D5CDD505-2E9C-101B-9397-08002B2CF9AE}" pid="17" name="Mendeley Recent Style Id 6_1">
    <vt:lpwstr>http://www.zotero.org/styles/harvard1</vt:lpwstr>
  </property>
  <property fmtid="{D5CDD505-2E9C-101B-9397-08002B2CF9AE}" pid="18" name="Mendeley Recent Style Name 6_1">
    <vt:lpwstr>Harvard Reference format 1 (author-date)</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7th edition</vt:lpwstr>
  </property>
</Properties>
</file>